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djustRightInd w:val="false"/>
        <w:snapToGrid w:val="false"/>
        <w:spacing w:lineRule="auto" w:line="360"/>
        <w:jc w:val="center"/>
        <w:rPr>
          <w:rFonts w:ascii="宋体" w:hAnsi="宋体" w:hint="eastAsia"/>
          <w:b/>
          <w:bCs/>
          <w:color w:val="auto"/>
          <w:sz w:val="32"/>
          <w:szCs w:val="32"/>
        </w:rPr>
      </w:pPr>
      <w:r>
        <w:rPr>
          <w:rFonts w:ascii="宋体" w:hAnsi="宋体" w:hint="eastAsia"/>
          <w:b/>
          <w:bCs/>
          <w:color w:val="auto"/>
          <w:sz w:val="32"/>
          <w:szCs w:val="32"/>
        </w:rPr>
        <w:t>报 价 函</w:t>
      </w:r>
    </w:p>
    <w:p>
      <w:pPr>
        <w:pStyle w:val="style4097"/>
        <w:numPr>
          <w:ilvl w:val="0"/>
          <w:numId w:val="0"/>
        </w:numPr>
        <w:tabs>
          <w:tab w:val="clear" w:pos="425"/>
        </w:tabs>
        <w:ind w:leftChars="0"/>
        <w:jc w:val="center"/>
        <w:rPr>
          <w:rFonts w:hint="eastAsia"/>
        </w:rPr>
      </w:pPr>
      <w:r>
        <w:rPr>
          <w:rFonts w:ascii="宋体" w:cs="宋体" w:hAnsi="宋体" w:hint="eastAsia"/>
          <w:b/>
          <w:bCs/>
          <w:color w:val="auto"/>
          <w:kern w:val="0"/>
          <w:sz w:val="28"/>
          <w:szCs w:val="28"/>
          <w:highlight w:val="none"/>
        </w:rPr>
        <w:t xml:space="preserve">项目编号： </w:t>
      </w:r>
      <w:r>
        <w:rPr>
          <w:rFonts w:ascii="宋体" w:cs="宋体" w:hAnsi="宋体" w:hint="eastAsia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CT-2021-2</w:t>
      </w:r>
      <w:r>
        <w:rPr>
          <w:rFonts w:ascii="宋体" w:cs="宋体" w:hAnsi="宋体" w:hint="default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ascii="宋体" w:cs="宋体" w:hAnsi="宋体" w:hint="eastAsia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（</w:t>
      </w:r>
      <w:r>
        <w:rPr>
          <w:rFonts w:ascii="宋体" w:cs="宋体" w:hAnsi="宋体" w:hint="default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ascii="宋体" w:cs="宋体" w:hAnsi="宋体" w:hint="eastAsia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）</w:t>
      </w:r>
    </w:p>
    <w:p>
      <w:pPr>
        <w:pStyle w:val="style0"/>
        <w:spacing w:lineRule="exact" w:line="480"/>
        <w:rPr>
          <w:rFonts w:ascii="宋体" w:eastAsia="宋体" w:hAnsi="宋体" w:hint="eastAsia"/>
          <w:color w:val="auto"/>
          <w:sz w:val="28"/>
          <w:lang w:eastAsia="zh-CN"/>
        </w:rPr>
      </w:pPr>
      <w:r>
        <w:rPr>
          <w:rFonts w:ascii="宋体" w:hAnsi="宋体" w:hint="eastAsia"/>
          <w:color w:val="auto"/>
          <w:sz w:val="28"/>
        </w:rPr>
        <w:t>致：</w:t>
      </w:r>
      <w:r>
        <w:rPr>
          <w:rFonts w:ascii="宋体" w:hAnsi="宋体" w:hint="eastAsia"/>
          <w:color w:val="auto"/>
          <w:sz w:val="28"/>
          <w:u w:val="single"/>
          <w:lang w:eastAsia="zh-CN"/>
        </w:rPr>
        <w:t>临朐县沂泰建材有限公司</w:t>
      </w:r>
    </w:p>
    <w:p>
      <w:pPr>
        <w:pStyle w:val="style0"/>
        <w:adjustRightInd w:val="false"/>
        <w:snapToGrid w:val="false"/>
        <w:spacing w:lineRule="auto" w:line="360"/>
        <w:jc w:val="center"/>
        <w:rPr>
          <w:rFonts w:ascii="宋体" w:hAnsi="宋体" w:hint="eastAsia"/>
          <w:color w:val="auto"/>
          <w:sz w:val="28"/>
        </w:rPr>
      </w:pPr>
      <w:r>
        <w:rPr>
          <w:rFonts w:hint="eastAsia"/>
          <w:color w:val="auto"/>
        </w:rPr>
        <w:t>1</w:t>
      </w:r>
      <w:r>
        <w:rPr>
          <w:rFonts w:ascii="宋体" w:hAnsi="宋体" w:hint="eastAsia"/>
          <w:color w:val="auto"/>
          <w:sz w:val="28"/>
        </w:rPr>
        <w:t>、根据你方采购项目编号为</w:t>
      </w:r>
      <w:r>
        <w:rPr>
          <w:rFonts w:ascii="宋体" w:cs="宋体" w:hAnsi="宋体" w:hint="eastAsia"/>
          <w:b/>
          <w:bCs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ascii="宋体" w:cs="宋体" w:hAnsi="宋体" w:hint="eastAsia"/>
          <w:b/>
          <w:bCs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CT-2021-2</w:t>
      </w:r>
      <w:r>
        <w:rPr>
          <w:rFonts w:ascii="宋体" w:cs="宋体" w:hAnsi="宋体" w:hint="default"/>
          <w:b/>
          <w:bCs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ascii="宋体" w:cs="宋体" w:hAnsi="宋体" w:hint="eastAsia"/>
          <w:b/>
          <w:bCs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（</w:t>
      </w:r>
      <w:r>
        <w:rPr>
          <w:rFonts w:ascii="宋体" w:cs="宋体" w:hAnsi="宋体" w:hint="default"/>
          <w:b/>
          <w:bCs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ascii="宋体" w:cs="宋体" w:hAnsi="宋体" w:hint="eastAsia"/>
          <w:b/>
          <w:bCs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）</w:t>
      </w:r>
      <w:r>
        <w:rPr>
          <w:rFonts w:ascii="宋体" w:hAnsi="宋体" w:hint="eastAsia"/>
          <w:color w:val="auto"/>
          <w:sz w:val="28"/>
        </w:rPr>
        <w:t>的</w:t>
      </w:r>
      <w:r>
        <w:rPr>
          <w:rFonts w:ascii="宋体" w:hAnsi="宋体" w:hint="eastAsia"/>
          <w:color w:val="auto"/>
          <w:sz w:val="28"/>
          <w:u w:val="single"/>
          <w:lang w:eastAsia="zh-CN"/>
        </w:rPr>
        <w:t>临朐县沂泰建材有限公司膨胀剂供应商采购</w:t>
      </w:r>
      <w:r>
        <w:rPr>
          <w:rFonts w:ascii="宋体" w:hAnsi="宋体" w:hint="eastAsia"/>
          <w:color w:val="auto"/>
          <w:sz w:val="28"/>
        </w:rPr>
        <w:t>谈判文件，经研究上述谈判文件的谈判须知及其他有关文件后，我方愿以下列报价</w:t>
      </w:r>
      <w:r>
        <w:rPr>
          <w:rFonts w:ascii="宋体" w:cs="Times New Roman" w:eastAsia="宋体" w:hAnsi="宋体" w:hint="eastAsia"/>
          <w:color w:val="auto"/>
          <w:sz w:val="28"/>
        </w:rPr>
        <w:t>承担</w:t>
      </w:r>
      <w:r>
        <w:rPr>
          <w:rFonts w:ascii="宋体" w:cs="Times New Roman" w:eastAsia="宋体" w:hAnsi="宋体" w:hint="eastAsia"/>
          <w:color w:val="auto"/>
          <w:sz w:val="28"/>
          <w:lang w:val="en-US" w:eastAsia="zh-CN"/>
        </w:rPr>
        <w:t>原材料</w:t>
      </w:r>
      <w:r>
        <w:rPr>
          <w:rFonts w:ascii="宋体" w:cs="Times New Roman" w:eastAsia="宋体" w:hAnsi="宋体" w:hint="eastAsia"/>
          <w:color w:val="auto"/>
          <w:sz w:val="28"/>
        </w:rPr>
        <w:t>的供应、</w:t>
      </w:r>
      <w:r>
        <w:rPr>
          <w:rFonts w:ascii="宋体" w:cs="Times New Roman" w:eastAsia="宋体" w:hAnsi="宋体" w:hint="eastAsia"/>
          <w:color w:val="auto"/>
          <w:sz w:val="28"/>
          <w:lang w:val="en-US" w:eastAsia="zh-CN"/>
        </w:rPr>
        <w:t>装卸、税费等</w:t>
      </w:r>
      <w:r>
        <w:rPr>
          <w:rFonts w:ascii="宋体" w:cs="Times New Roman" w:eastAsia="宋体" w:hAnsi="宋体" w:hint="eastAsia"/>
          <w:color w:val="auto"/>
          <w:sz w:val="28"/>
        </w:rPr>
        <w:t>。</w:t>
      </w:r>
    </w:p>
    <w:tbl>
      <w:tblPr>
        <w:tblStyle w:val="style105"/>
        <w:tblW w:w="8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606"/>
        <w:gridCol w:w="2227"/>
        <w:gridCol w:w="1725"/>
        <w:gridCol w:w="2208"/>
      </w:tblGrid>
      <w:tr>
        <w:trPr>
          <w:trHeight w:val="1038" w:hRule="atLeast"/>
          <w:jc w:val="center"/>
        </w:trPr>
        <w:tc>
          <w:tcPr>
            <w:tcW w:w="1152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eastAsia="宋体" w:hAnsi="宋体" w:hint="default"/>
                <w:color w:val="auto"/>
                <w:sz w:val="28"/>
                <w:lang w:val="en-US" w:eastAsia="zh-CN"/>
              </w:rPr>
            </w:pPr>
            <w:r>
              <w:rPr>
                <w:rFonts w:ascii="宋体" w:hAnsi="宋体" w:hint="eastAsia"/>
                <w:color w:val="auto"/>
                <w:sz w:val="28"/>
                <w:lang w:val="en-US" w:eastAsia="zh-CN"/>
              </w:rPr>
              <w:t>包号</w:t>
            </w:r>
          </w:p>
        </w:tc>
        <w:tc>
          <w:tcPr>
            <w:tcW w:w="1606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hAnsi="宋体" w:hint="eastAsia"/>
                <w:color w:val="auto"/>
                <w:sz w:val="28"/>
              </w:rPr>
            </w:pPr>
            <w:r>
              <w:rPr>
                <w:rFonts w:ascii="宋体" w:hAnsi="宋体" w:hint="eastAsia"/>
                <w:color w:val="auto"/>
                <w:sz w:val="28"/>
              </w:rPr>
              <w:t>采购内容</w:t>
            </w:r>
          </w:p>
        </w:tc>
        <w:tc>
          <w:tcPr>
            <w:tcW w:w="2227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eastAsia="宋体" w:hAnsi="宋体" w:hint="eastAsia"/>
                <w:color w:val="auto"/>
                <w:sz w:val="28"/>
                <w:lang w:eastAsia="zh-CN"/>
              </w:rPr>
            </w:pPr>
            <w:r>
              <w:rPr>
                <w:rFonts w:ascii="宋体" w:cs="Times New Roman" w:eastAsia="宋体" w:hAnsi="宋体" w:hint="eastAsia"/>
                <w:color w:val="auto"/>
                <w:sz w:val="28"/>
                <w:lang w:val="en-US" w:eastAsia="zh-CN"/>
              </w:rPr>
              <w:t xml:space="preserve">投标报价 </w:t>
            </w:r>
          </w:p>
        </w:tc>
        <w:tc>
          <w:tcPr>
            <w:tcW w:w="1725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Times New Roman" w:eastAsia="宋体" w:hAnsi="宋体" w:hint="eastAsia"/>
                <w:color w:val="auto"/>
                <w:sz w:val="28"/>
                <w:lang w:val="en-US" w:eastAsia="zh-CN"/>
              </w:rPr>
            </w:pPr>
            <w:r>
              <w:rPr>
                <w:rFonts w:ascii="宋体" w:cs="Times New Roman" w:eastAsia="宋体" w:hAnsi="宋体" w:hint="eastAsia"/>
                <w:color w:val="auto"/>
                <w:sz w:val="28"/>
                <w:lang w:val="en-US" w:eastAsia="zh-CN"/>
              </w:rPr>
              <w:t>控制单价</w:t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Times New Roman" w:eastAsia="宋体" w:hAnsi="宋体" w:hint="eastAsia"/>
                <w:color w:val="auto"/>
                <w:sz w:val="28"/>
                <w:lang w:val="en-US" w:eastAsia="zh-CN"/>
              </w:rPr>
            </w:pPr>
            <w:r>
              <w:rPr>
                <w:rFonts w:ascii="宋体" w:cs="Times New Roman" w:eastAsia="宋体" w:hAnsi="宋体" w:hint="eastAsia"/>
                <w:color w:val="auto"/>
                <w:sz w:val="28"/>
                <w:lang w:val="en-US" w:eastAsia="zh-CN"/>
              </w:rPr>
              <w:t>所投原材料厂家、产地、品牌型号等信息</w:t>
            </w:r>
          </w:p>
        </w:tc>
      </w:tr>
      <w:tr>
        <w:tblPrEx/>
        <w:trPr>
          <w:trHeight w:val="812" w:hRule="atLeast"/>
          <w:jc w:val="center"/>
        </w:trPr>
        <w:tc>
          <w:tcPr>
            <w:tcW w:w="1152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Times New Roman" w:eastAsia="宋体" w:hAnsi="宋体" w:hint="default"/>
                <w:color w:val="auto"/>
                <w:sz w:val="28"/>
                <w:lang w:val="en-US" w:eastAsia="zh-CN"/>
              </w:rPr>
            </w:pPr>
            <w:r>
              <w:rPr>
                <w:rFonts w:ascii="宋体" w:cs="Times New Roman" w:eastAsia="宋体" w:hAnsi="宋体" w:hint="eastAsia"/>
                <w:color w:val="auto"/>
                <w:sz w:val="28"/>
                <w:u w:val="single"/>
                <w:lang w:val="en-US" w:eastAsia="zh-CN"/>
              </w:rPr>
              <w:t xml:space="preserve">    </w:t>
            </w:r>
            <w:r>
              <w:rPr>
                <w:rFonts w:ascii="宋体" w:cs="Times New Roman" w:eastAsia="宋体" w:hAnsi="宋体" w:hint="eastAsia"/>
                <w:color w:val="auto"/>
                <w:sz w:val="28"/>
                <w:lang w:val="en-US" w:eastAsia="zh-CN"/>
              </w:rPr>
              <w:t>包</w:t>
            </w:r>
          </w:p>
        </w:tc>
        <w:tc>
          <w:tcPr>
            <w:tcW w:w="1606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Times New Roman" w:eastAsia="宋体" w:hAnsi="宋体" w:hint="default"/>
                <w:color w:val="auto"/>
                <w:sz w:val="28"/>
                <w:lang w:val="en-US" w:eastAsia="zh-CN"/>
              </w:rPr>
            </w:pPr>
            <w:r>
              <w:rPr>
                <w:rFonts w:ascii="宋体" w:cs="Times New Roman" w:eastAsia="宋体" w:hAnsi="宋体" w:hint="eastAsia"/>
                <w:color w:val="auto"/>
                <w:sz w:val="28"/>
                <w:lang w:val="en-US" w:eastAsia="zh-CN"/>
              </w:rPr>
              <w:t>混凝土膨胀剂</w:t>
            </w:r>
          </w:p>
        </w:tc>
        <w:tc>
          <w:tcPr>
            <w:tcW w:w="2227" w:type="dxa"/>
            <w:tcBorders/>
            <w:vAlign w:val="center"/>
          </w:tcPr>
          <w:p>
            <w:pPr>
              <w:pStyle w:val="style0"/>
              <w:spacing w:lineRule="exact" w:line="480"/>
              <w:rPr>
                <w:rFonts w:ascii="宋体" w:hAnsi="宋体" w:hint="eastAsia"/>
                <w:color w:val="auto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  <w:t>单价</w:t>
            </w:r>
            <w:r>
              <w:rPr>
                <w:rFonts w:ascii="宋体" w:cs="宋体" w:hAnsi="宋体" w:hint="eastAsia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cs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  <w:t>元/吨</w:t>
            </w:r>
          </w:p>
        </w:tc>
        <w:tc>
          <w:tcPr>
            <w:tcW w:w="1725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宋体" w:cs="Times New Roman" w:eastAsia="宋体" w:hAnsi="宋体" w:hint="eastAsia"/>
                <w:color w:val="auto"/>
                <w:sz w:val="28"/>
                <w:lang w:val="en-US" w:eastAsia="zh-CN"/>
              </w:rPr>
            </w:pPr>
            <w:r>
              <w:rPr>
                <w:rFonts w:ascii="宋体" w:cs="Times New Roman" w:eastAsia="宋体" w:hAnsi="宋体" w:hint="default"/>
                <w:color w:val="auto"/>
                <w:sz w:val="28"/>
                <w:lang w:val="en-US" w:eastAsia="zh-CN"/>
              </w:rPr>
              <w:t>950</w:t>
            </w:r>
            <w:r>
              <w:rPr>
                <w:rFonts w:ascii="宋体" w:cs="Times New Roman" w:eastAsia="宋体" w:hAnsi="宋体" w:hint="eastAsia"/>
                <w:color w:val="auto"/>
                <w:sz w:val="28"/>
                <w:lang w:val="en-US" w:eastAsia="zh-CN"/>
              </w:rPr>
              <w:t>元/吨</w:t>
            </w:r>
          </w:p>
        </w:tc>
        <w:tc>
          <w:tcPr>
            <w:tcW w:w="2208" w:type="dxa"/>
            <w:tcBorders/>
            <w:vAlign w:val="center"/>
          </w:tcPr>
          <w:p>
            <w:pPr>
              <w:pStyle w:val="style0"/>
              <w:spacing w:lineRule="exact" w:line="480"/>
              <w:rPr>
                <w:rFonts w:ascii="宋体" w:cs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style0"/>
        <w:spacing w:lineRule="exact" w:line="480"/>
        <w:ind w:firstLine="504" w:firstLineChars="200"/>
        <w:rPr>
          <w:rFonts w:ascii="宋体" w:cs="Times New Roman" w:eastAsia="宋体" w:hAnsi="宋体" w:hint="eastAsia"/>
          <w:color w:val="auto"/>
          <w:sz w:val="28"/>
        </w:rPr>
      </w:pPr>
      <w:r>
        <w:rPr>
          <w:rFonts w:ascii="宋体" w:hAnsi="宋体" w:hint="eastAsia"/>
          <w:color w:val="auto"/>
          <w:spacing w:val="-14"/>
          <w:sz w:val="28"/>
        </w:rPr>
        <w:t>2、</w:t>
      </w:r>
      <w:r>
        <w:rPr>
          <w:rFonts w:ascii="宋体" w:hAnsi="宋体" w:hint="eastAsia"/>
          <w:color w:val="auto"/>
          <w:sz w:val="28"/>
          <w:szCs w:val="28"/>
        </w:rPr>
        <w:t>一旦我方成交，</w:t>
      </w:r>
      <w:r>
        <w:rPr>
          <w:rFonts w:ascii="宋体" w:hAnsi="宋体" w:hint="eastAsia"/>
          <w:color w:val="auto"/>
          <w:sz w:val="28"/>
        </w:rPr>
        <w:t>我方</w:t>
      </w:r>
      <w:r>
        <w:rPr>
          <w:rFonts w:ascii="宋体" w:cs="Times New Roman" w:eastAsia="宋体" w:hAnsi="宋体" w:hint="eastAsia"/>
          <w:color w:val="auto"/>
          <w:sz w:val="28"/>
        </w:rPr>
        <w:t>保证自接到招标人每批次供货通知后</w:t>
      </w:r>
      <w:r>
        <w:rPr>
          <w:rFonts w:ascii="宋体" w:cs="Times New Roman" w:eastAsia="宋体" w:hAnsi="宋体" w:hint="eastAsia"/>
          <w:color w:val="auto"/>
          <w:sz w:val="28"/>
          <w:u w:val="single"/>
          <w:lang w:val="en-US" w:eastAsia="zh-CN"/>
        </w:rPr>
        <w:t>12小时</w:t>
      </w:r>
      <w:r>
        <w:rPr>
          <w:rFonts w:ascii="宋体" w:cs="Times New Roman" w:eastAsia="宋体" w:hAnsi="宋体" w:hint="eastAsia"/>
          <w:color w:val="auto"/>
          <w:sz w:val="28"/>
          <w:u w:val="single"/>
        </w:rPr>
        <w:t>内</w:t>
      </w:r>
      <w:r>
        <w:rPr>
          <w:rFonts w:ascii="宋体" w:cs="Times New Roman" w:eastAsia="宋体" w:hAnsi="宋体" w:hint="eastAsia"/>
          <w:color w:val="auto"/>
          <w:sz w:val="28"/>
        </w:rPr>
        <w:t>供货至招标人指定地点。</w:t>
      </w:r>
    </w:p>
    <w:p>
      <w:pPr>
        <w:pStyle w:val="style0"/>
        <w:spacing w:lineRule="exact" w:line="480"/>
        <w:ind w:firstLine="560" w:firstLineChars="200"/>
        <w:rPr>
          <w:rFonts w:ascii="宋体" w:hAnsi="宋体" w:hint="eastAsia"/>
          <w:color w:val="auto"/>
          <w:sz w:val="28"/>
        </w:rPr>
      </w:pPr>
      <w:r>
        <w:rPr>
          <w:rFonts w:ascii="宋体" w:hAnsi="宋体" w:hint="eastAsia"/>
          <w:color w:val="auto"/>
          <w:sz w:val="28"/>
        </w:rPr>
        <w:t>3、我方已详细审核全部谈判文件，包括修改文件（如有时）及有关附件。</w:t>
      </w:r>
    </w:p>
    <w:p>
      <w:pPr>
        <w:pStyle w:val="style0"/>
        <w:spacing w:lineRule="exact" w:line="480"/>
        <w:ind w:firstLine="560" w:firstLineChars="200"/>
        <w:rPr>
          <w:rFonts w:ascii="宋体" w:cs="Times New Roman" w:eastAsia="宋体" w:hAnsi="宋体" w:hint="eastAsia"/>
          <w:color w:val="auto"/>
          <w:sz w:val="28"/>
        </w:rPr>
      </w:pPr>
      <w:r>
        <w:rPr>
          <w:rFonts w:ascii="宋体" w:cs="Times New Roman" w:eastAsia="宋体" w:hAnsi="宋体" w:hint="eastAsia"/>
          <w:color w:val="auto"/>
          <w:sz w:val="28"/>
          <w:lang w:val="en-US" w:eastAsia="zh-CN"/>
        </w:rPr>
        <w:t>4</w:t>
      </w:r>
      <w:r>
        <w:rPr>
          <w:rFonts w:ascii="宋体" w:cs="Times New Roman" w:eastAsia="宋体" w:hAnsi="宋体" w:hint="eastAsia"/>
          <w:color w:val="auto"/>
          <w:sz w:val="28"/>
        </w:rPr>
        <w:t>、我方同意所提交的</w:t>
      </w:r>
      <w:r>
        <w:rPr>
          <w:rFonts w:ascii="宋体" w:cs="Times New Roman" w:eastAsia="宋体" w:hAnsi="宋体" w:hint="eastAsia"/>
          <w:color w:val="auto"/>
          <w:sz w:val="28"/>
          <w:lang w:eastAsia="zh-CN"/>
        </w:rPr>
        <w:t>报价文件</w:t>
      </w:r>
      <w:r>
        <w:rPr>
          <w:rFonts w:ascii="宋体" w:cs="Times New Roman" w:eastAsia="宋体" w:hAnsi="宋体" w:hint="eastAsia"/>
          <w:color w:val="auto"/>
          <w:sz w:val="28"/>
        </w:rPr>
        <w:t>在</w:t>
      </w:r>
      <w:r>
        <w:rPr>
          <w:rFonts w:ascii="宋体" w:cs="Times New Roman" w:eastAsia="宋体" w:hAnsi="宋体" w:hint="eastAsia"/>
          <w:color w:val="auto"/>
          <w:sz w:val="28"/>
          <w:lang w:eastAsia="zh-CN"/>
        </w:rPr>
        <w:t>谈判文件</w:t>
      </w:r>
      <w:r>
        <w:rPr>
          <w:rFonts w:ascii="宋体" w:cs="Times New Roman" w:eastAsia="宋体" w:hAnsi="宋体" w:hint="eastAsia"/>
          <w:color w:val="auto"/>
          <w:sz w:val="28"/>
        </w:rPr>
        <w:t>规定的投标有效期内有效，在此期间我方将受此约束。</w:t>
      </w:r>
    </w:p>
    <w:p>
      <w:pPr>
        <w:pStyle w:val="style0"/>
        <w:spacing w:lineRule="exact" w:line="480"/>
        <w:ind w:firstLine="560" w:firstLineChars="200"/>
        <w:rPr>
          <w:rFonts w:ascii="宋体" w:cs="Times New Roman" w:eastAsia="宋体" w:hAnsi="宋体" w:hint="eastAsia"/>
          <w:color w:val="auto"/>
          <w:sz w:val="28"/>
        </w:rPr>
      </w:pPr>
      <w:r>
        <w:rPr>
          <w:rFonts w:ascii="宋体" w:cs="Times New Roman" w:eastAsia="宋体" w:hAnsi="宋体" w:hint="eastAsia"/>
          <w:color w:val="auto"/>
          <w:sz w:val="28"/>
          <w:lang w:val="en-US" w:eastAsia="zh-CN"/>
        </w:rPr>
        <w:t>5</w:t>
      </w:r>
      <w:r>
        <w:rPr>
          <w:rFonts w:ascii="宋体" w:cs="Times New Roman" w:eastAsia="宋体" w:hAnsi="宋体" w:hint="eastAsia"/>
          <w:color w:val="auto"/>
          <w:sz w:val="28"/>
        </w:rPr>
        <w:t>、如我方</w:t>
      </w:r>
      <w:r>
        <w:rPr>
          <w:rFonts w:ascii="宋体" w:cs="Times New Roman" w:eastAsia="宋体" w:hAnsi="宋体" w:hint="eastAsia"/>
          <w:color w:val="auto"/>
          <w:sz w:val="28"/>
          <w:lang w:eastAsia="zh-CN"/>
        </w:rPr>
        <w:t>成交</w:t>
      </w:r>
      <w:r>
        <w:rPr>
          <w:rFonts w:ascii="宋体" w:cs="Times New Roman" w:eastAsia="宋体" w:hAnsi="宋体" w:hint="eastAsia"/>
          <w:color w:val="auto"/>
          <w:sz w:val="28"/>
        </w:rPr>
        <w:t>：我方承诺在收到</w:t>
      </w:r>
      <w:r>
        <w:rPr>
          <w:rFonts w:ascii="宋体" w:cs="Times New Roman" w:eastAsia="宋体" w:hAnsi="宋体" w:hint="eastAsia"/>
          <w:color w:val="auto"/>
          <w:sz w:val="28"/>
          <w:lang w:eastAsia="zh-CN"/>
        </w:rPr>
        <w:t>成交通知书</w:t>
      </w:r>
      <w:r>
        <w:rPr>
          <w:rFonts w:ascii="宋体" w:cs="Times New Roman" w:eastAsia="宋体" w:hAnsi="宋体" w:hint="eastAsia"/>
          <w:color w:val="auto"/>
          <w:sz w:val="28"/>
        </w:rPr>
        <w:t>后，在</w:t>
      </w:r>
      <w:r>
        <w:rPr>
          <w:rFonts w:ascii="宋体" w:cs="Times New Roman" w:eastAsia="宋体" w:hAnsi="宋体" w:hint="eastAsia"/>
          <w:color w:val="auto"/>
          <w:sz w:val="28"/>
          <w:lang w:eastAsia="zh-CN"/>
        </w:rPr>
        <w:t>成交通知书</w:t>
      </w:r>
      <w:r>
        <w:rPr>
          <w:rFonts w:ascii="宋体" w:cs="Times New Roman" w:eastAsia="宋体" w:hAnsi="宋体" w:hint="eastAsia"/>
          <w:color w:val="auto"/>
          <w:sz w:val="28"/>
        </w:rPr>
        <w:t>规定的期限内与招标人签订合同。</w:t>
      </w:r>
    </w:p>
    <w:p>
      <w:pPr>
        <w:pStyle w:val="style0"/>
        <w:spacing w:lineRule="exact" w:line="480"/>
        <w:ind w:firstLine="560" w:firstLineChars="200"/>
        <w:rPr>
          <w:rFonts w:ascii="宋体" w:cs="Times New Roman" w:eastAsia="宋体" w:hAnsi="宋体" w:hint="eastAsia"/>
          <w:color w:val="auto"/>
          <w:sz w:val="28"/>
        </w:rPr>
      </w:pPr>
      <w:r>
        <w:rPr>
          <w:rFonts w:ascii="宋体" w:cs="Times New Roman" w:eastAsia="宋体" w:hAnsi="宋体" w:hint="eastAsia"/>
          <w:color w:val="auto"/>
          <w:sz w:val="28"/>
          <w:lang w:val="en-US" w:eastAsia="zh-CN"/>
        </w:rPr>
        <w:t>6</w:t>
      </w:r>
      <w:r>
        <w:rPr>
          <w:rFonts w:ascii="宋体" w:cs="Times New Roman" w:eastAsia="宋体" w:hAnsi="宋体" w:hint="eastAsia"/>
          <w:color w:val="auto"/>
          <w:sz w:val="28"/>
        </w:rPr>
        <w:t>、除非另外达成协议并生效，你方的</w:t>
      </w:r>
      <w:r>
        <w:rPr>
          <w:rFonts w:ascii="宋体" w:cs="Times New Roman" w:eastAsia="宋体" w:hAnsi="宋体" w:hint="eastAsia"/>
          <w:color w:val="auto"/>
          <w:sz w:val="28"/>
          <w:lang w:eastAsia="zh-CN"/>
        </w:rPr>
        <w:t>成交通知书</w:t>
      </w:r>
      <w:r>
        <w:rPr>
          <w:rFonts w:ascii="宋体" w:cs="Times New Roman" w:eastAsia="宋体" w:hAnsi="宋体" w:hint="eastAsia"/>
          <w:color w:val="auto"/>
          <w:sz w:val="28"/>
        </w:rPr>
        <w:t>和本</w:t>
      </w:r>
      <w:r>
        <w:rPr>
          <w:rFonts w:ascii="宋体" w:cs="Times New Roman" w:eastAsia="宋体" w:hAnsi="宋体" w:hint="eastAsia"/>
          <w:color w:val="auto"/>
          <w:sz w:val="28"/>
          <w:lang w:eastAsia="zh-CN"/>
        </w:rPr>
        <w:t>报价文件</w:t>
      </w:r>
      <w:r>
        <w:rPr>
          <w:rFonts w:ascii="宋体" w:cs="Times New Roman" w:eastAsia="宋体" w:hAnsi="宋体" w:hint="eastAsia"/>
          <w:color w:val="auto"/>
          <w:sz w:val="28"/>
        </w:rPr>
        <w:t>将成为约束双方的合同文件的组成部分。</w:t>
      </w:r>
    </w:p>
    <w:p>
      <w:pPr>
        <w:pStyle w:val="style0"/>
        <w:spacing w:lineRule="exact" w:line="480"/>
        <w:ind w:firstLine="560" w:firstLineChars="200"/>
        <w:rPr>
          <w:rFonts w:ascii="宋体" w:cs="Times New Roman" w:eastAsia="宋体" w:hAnsi="宋体" w:hint="eastAsia"/>
          <w:color w:val="auto"/>
          <w:sz w:val="28"/>
        </w:rPr>
      </w:pPr>
      <w:r>
        <w:rPr>
          <w:rFonts w:ascii="宋体" w:cs="Times New Roman" w:eastAsia="宋体" w:hAnsi="宋体" w:hint="eastAsia"/>
          <w:color w:val="auto"/>
          <w:sz w:val="28"/>
          <w:lang w:val="en-US" w:eastAsia="zh-CN"/>
        </w:rPr>
        <w:t>8</w:t>
      </w:r>
      <w:r>
        <w:rPr>
          <w:rFonts w:ascii="宋体" w:cs="Times New Roman" w:eastAsia="宋体" w:hAnsi="宋体" w:hint="eastAsia"/>
          <w:color w:val="auto"/>
          <w:sz w:val="28"/>
        </w:rPr>
        <w:t>、我方在此声明，所递交的</w:t>
      </w:r>
      <w:r>
        <w:rPr>
          <w:rFonts w:ascii="宋体" w:cs="Times New Roman" w:eastAsia="宋体" w:hAnsi="宋体" w:hint="eastAsia"/>
          <w:color w:val="auto"/>
          <w:sz w:val="28"/>
          <w:lang w:eastAsia="zh-CN"/>
        </w:rPr>
        <w:t>报价文件</w:t>
      </w:r>
      <w:r>
        <w:rPr>
          <w:rFonts w:ascii="宋体" w:cs="Times New Roman" w:eastAsia="宋体" w:hAnsi="宋体" w:hint="eastAsia"/>
          <w:color w:val="auto"/>
          <w:sz w:val="28"/>
        </w:rPr>
        <w:t>及有关资料内容完整、真实和有效，并同意招标人保留在合同签署前对其进行验证的权力。</w:t>
      </w:r>
    </w:p>
    <w:p>
      <w:pPr>
        <w:pStyle w:val="style0"/>
        <w:spacing w:lineRule="exact" w:line="480"/>
        <w:ind w:firstLine="5880" w:firstLineChars="2100"/>
        <w:jc w:val="right"/>
        <w:rPr>
          <w:rFonts w:ascii="宋体" w:cs="Times New Roman" w:eastAsia="宋体" w:hAnsi="宋体" w:hint="eastAsia"/>
          <w:color w:val="auto"/>
          <w:sz w:val="28"/>
          <w:lang w:val="en-US" w:eastAsia="zh-CN"/>
        </w:rPr>
      </w:pPr>
      <w:r>
        <w:rPr>
          <w:rFonts w:ascii="宋体" w:cs="Times New Roman" w:eastAsia="宋体" w:hAnsi="宋体" w:hint="eastAsia"/>
          <w:color w:val="auto"/>
          <w:sz w:val="28"/>
          <w:lang w:val="en-US" w:eastAsia="zh-CN"/>
        </w:rPr>
        <w:t>供应商（盖章）：</w:t>
      </w:r>
    </w:p>
    <w:p>
      <w:pPr>
        <w:pStyle w:val="style0"/>
        <w:spacing w:lineRule="exact" w:line="480"/>
        <w:jc w:val="right"/>
        <w:rPr>
          <w:rFonts w:ascii="宋体" w:cs="Times New Roman" w:eastAsia="宋体" w:hAnsi="宋体" w:hint="eastAsia"/>
          <w:color w:val="auto"/>
          <w:sz w:val="28"/>
          <w:lang w:val="en-US" w:eastAsia="zh-CN"/>
        </w:rPr>
      </w:pPr>
      <w:r>
        <w:rPr>
          <w:rFonts w:ascii="宋体" w:cs="Times New Roman" w:eastAsia="宋体" w:hAnsi="宋体" w:hint="eastAsia"/>
          <w:color w:val="auto"/>
          <w:sz w:val="28"/>
          <w:lang w:val="en-US" w:eastAsia="zh-CN"/>
        </w:rPr>
        <w:t>法定代表人或授权代表（签字或盖章）：</w:t>
      </w:r>
    </w:p>
    <w:p>
      <w:pPr>
        <w:pStyle w:val="style4098"/>
        <w:ind w:left="111" w:leftChars="53" w:firstLine="3036" w:firstLineChars="945"/>
        <w:rPr>
          <w:rFonts w:ascii="宋体" w:cs="Times New Roman" w:eastAsia="宋体" w:hAnsi="宋体" w:hint="default"/>
          <w:b/>
          <w:color w:val="auto"/>
          <w:sz w:val="32"/>
          <w:szCs w:val="32"/>
          <w:lang w:val="en-US" w:eastAsia="zh-CN"/>
        </w:rPr>
      </w:pPr>
      <w:r>
        <w:rPr>
          <w:rFonts w:ascii="宋体" w:eastAsia="宋体" w:hAnsi="宋体" w:hint="eastAsia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ascii="宋体" w:eastAsia="宋体" w:hAnsi="宋体" w:hint="eastAsia"/>
          <w:b w:val="false"/>
          <w:bCs w:val="false"/>
          <w:color w:val="auto"/>
          <w:sz w:val="32"/>
          <w:szCs w:val="32"/>
          <w:lang w:val="en-US" w:eastAsia="zh-CN"/>
        </w:rPr>
        <w:t xml:space="preserve"> 2021年</w:t>
      </w:r>
      <w:r>
        <w:rPr>
          <w:rFonts w:ascii="宋体" w:eastAsia="宋体" w:hAnsi="宋体" w:hint="default"/>
          <w:b w:val="false"/>
          <w:bCs w:val="false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宋体" w:eastAsia="宋体" w:hAnsi="宋体" w:hint="eastAsia"/>
          <w:b w:val="false"/>
          <w:bCs w:val="false"/>
          <w:color w:val="auto"/>
          <w:sz w:val="32"/>
          <w:szCs w:val="32"/>
          <w:lang w:val="en-US" w:eastAsia="zh-CN"/>
        </w:rPr>
        <w:t xml:space="preserve">  月   日</w:t>
      </w:r>
    </w:p>
    <w:bookmarkStart w:id="0" w:name="_GoBack"/>
    <w:bookmarkEnd w:id="0"/>
    <w:p>
      <w:pPr>
        <w:pStyle w:val="style0"/>
        <w:rPr/>
      </w:pPr>
    </w:p>
    <w:sectPr>
      <w:headerReference w:type="default" r:id="rId2"/>
      <w:footerReference w:type="even" r:id="rId3"/>
      <w:footerReference w:type="default" r:id="rId4"/>
      <w:pgSz w:w="11906" w:h="16838" w:orient="portrait"/>
      <w:pgMar w:top="1440" w:right="1701" w:bottom="1440" w:left="1701" w:header="851" w:footer="992" w:gutter="0"/>
      <w:pgBorders w:zOrder="front" w:display="allPages" w:offsetFrom="text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28"/>
    <w:family w:val="roman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  <w:font w:name="Microsoft JhengHei">
    <w:altName w:val="Microsoft JhengHei"/>
    <w:panose1 w:val="020b0604030005040204"/>
    <w:charset w:val="88"/>
    <w:family w:val="swiss"/>
    <w:pitch w:val="default"/>
    <w:sig w:usb0="000002A7" w:usb1="28CF4400" w:usb2="00000016" w:usb3="00000000" w:csb0="00100009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separate"/>
    </w:r>
    <w:r>
      <w:rPr/>
      <w:fldChar w:fldCharType="end"/>
    </w:r>
  </w:p>
  <w:p>
    <w:pPr>
      <w:pStyle w:val="style32"/>
      <w:rPr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framePr w:wrap="around" w:hAnchor="margin" w:vAnchor="text" w:xAlign="center" w:y="1"/>
      <w:spacing w:lineRule="exact" w:line="204"/>
      <w:ind w:left="40"/>
      <w:rPr/>
    </w:pPr>
    <w:r>
      <w:rPr/>
      <w:fldChar w:fldCharType="begin"/>
    </w:r>
    <w:r>
      <w:instrText xml:space="preserve">PAGE  </w:instrText>
    </w:r>
    <w:r>
      <w:rPr/>
      <w:fldChar w:fldCharType="separate"/>
    </w:r>
    <w:r>
      <w:t>18</w:t>
    </w:r>
    <w:r>
      <w:rPr/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rStyle w:val="style4099"/>
        <w:rFonts w:hint="eastAsia"/>
        <w:sz w:val="18"/>
        <w:szCs w:val="18"/>
        <w:lang w:eastAsia="zh-CN"/>
      </w:rPr>
      <w:t>临朐县沂泰建材有限公司防冻泵送减水剂供应商采购</w:t>
    </w:r>
    <w:r>
      <w:rPr>
        <w:rStyle w:val="style4099"/>
        <w:rFonts w:hint="eastAsia"/>
        <w:sz w:val="18"/>
        <w:szCs w:val="18"/>
      </w:rPr>
      <w:t>竞争性谈判文件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B67ADBD"/>
    <w:lvl w:ilvl="0">
      <w:start w:val="1"/>
      <w:numFmt w:val="decimal"/>
      <w:pStyle w:val="style4097"/>
      <w:lvlText w:val="%1"/>
      <w:lvlJc w:val="left"/>
      <w:pPr>
        <w:tabs>
          <w:tab w:val="left" w:leader="none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left" w:leader="none" w:pos="992"/>
        </w:tabs>
        <w:ind w:left="992" w:hanging="567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left" w:leader="none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leader="none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leader="none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leader="none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leader="none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leader="none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leader="none" w:pos="592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4097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正文格式"/>
    <w:basedOn w:val="style66"/>
    <w:next w:val="style0"/>
    <w:qFormat/>
    <w:uiPriority w:val="0"/>
    <w:pPr>
      <w:numPr>
        <w:ilvl w:val="0"/>
        <w:numId w:val="1"/>
      </w:numPr>
      <w:tabs>
        <w:tab w:val="left" w:leader="none" w:pos="810"/>
      </w:tabs>
    </w:pPr>
    <w:rPr>
      <w:rFonts w:ascii="宋体" w:hAnsi="宋体"/>
      <w:sz w:val="24"/>
    </w:rPr>
  </w:style>
  <w:style w:type="paragraph" w:styleId="style66">
    <w:name w:val="Body Text"/>
    <w:basedOn w:val="style0"/>
    <w:next w:val="style28"/>
    <w:qFormat/>
    <w:uiPriority w:val="1"/>
    <w:pPr>
      <w:spacing w:lineRule="exact" w:line="580"/>
      <w:jc w:val="left"/>
    </w:pPr>
    <w:rPr>
      <w:rFonts w:ascii="宋体" w:hAnsi="宋体"/>
      <w:b/>
      <w:sz w:val="28"/>
      <w:szCs w:val="28"/>
    </w:rPr>
  </w:style>
  <w:style w:type="paragraph" w:styleId="style28">
    <w:name w:val="Normal Indent"/>
    <w:basedOn w:val="style0"/>
    <w:next w:val="style0"/>
    <w:uiPriority w:val="0"/>
    <w:pPr>
      <w:ind w:firstLine="420" w:firstLineChars="200"/>
    </w:pPr>
    <w:rPr>
      <w:szCs w:val="20"/>
    </w:rPr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41">
    <w:name w:val="page number"/>
    <w:basedOn w:val="style65"/>
    <w:next w:val="style41"/>
    <w:uiPriority w:val="0"/>
  </w:style>
  <w:style w:type="paragraph" w:customStyle="1" w:styleId="style4098">
    <w:name w:val="Heading 4"/>
    <w:basedOn w:val="style0"/>
    <w:next w:val="style4098"/>
    <w:qFormat/>
    <w:uiPriority w:val="1"/>
    <w:pPr>
      <w:ind w:left="112"/>
      <w:jc w:val="left"/>
      <w:outlineLvl w:val="4"/>
    </w:pPr>
    <w:rPr>
      <w:rFonts w:ascii="Microsoft JhengHei" w:cs="Microsoft JhengHei" w:eastAsia="Microsoft JhengHei" w:hAnsi="Microsoft JhengHei"/>
      <w:b/>
      <w:bCs/>
      <w:kern w:val="0"/>
      <w:sz w:val="30"/>
      <w:szCs w:val="30"/>
      <w:lang w:eastAsia="en-US"/>
    </w:rPr>
  </w:style>
  <w:style w:type="character" w:customStyle="1" w:styleId="style4099">
    <w:name w:val="fontstyle01"/>
    <w:basedOn w:val="style65"/>
    <w:next w:val="style4099"/>
    <w:uiPriority w:val="0"/>
    <w:rPr>
      <w:rFonts w:ascii="楷体_GB2312" w:hAnsi="楷体_GB2312" w:hint="default"/>
      <w:color w:val="000000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487</Words>
  <Pages>1</Pages>
  <Characters>512</Characters>
  <Application>WPS Office</Application>
  <DocSecurity>0</DocSecurity>
  <Paragraphs>34</Paragraphs>
  <ScaleCrop>false</ScaleCrop>
  <LinksUpToDate>false</LinksUpToDate>
  <CharactersWithSpaces>547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2021-11-04T02:51:00Z</dcterms:created>
  <dc:creator>XXYU</dc:creator>
  <lastModifiedBy>Redmi K30</lastModifiedBy>
  <dcterms:modified xsi:type="dcterms:W3CDTF">2021-11-20T09:46:10Z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9F28DBA988A74A5AAB096B6652BD0C24</vt:lpwstr>
  </property>
</Properties>
</file>