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75" w:beforeAutospacing="0" w:after="75" w:afterAutospacing="0" w:line="525" w:lineRule="atLeast"/>
        <w:ind w:left="0" w:right="0" w:firstLine="0"/>
        <w:jc w:val="center"/>
        <w:rPr>
          <w:rFonts w:hint="default" w:ascii="仿宋" w:hAnsi="仿宋" w:eastAsia="仿宋" w:cs="仿宋"/>
          <w:b/>
          <w:bCs/>
          <w:i w:val="0"/>
          <w:iCs w:val="0"/>
          <w:caps w:val="0"/>
          <w:color w:val="000000"/>
          <w:spacing w:val="0"/>
          <w:sz w:val="44"/>
          <w:szCs w:val="44"/>
          <w:lang w:val="en-US"/>
        </w:rPr>
      </w:pPr>
      <w:r>
        <w:rPr>
          <w:rFonts w:hint="eastAsia" w:ascii="仿宋" w:hAnsi="仿宋" w:eastAsia="仿宋" w:cs="仿宋"/>
          <w:b/>
          <w:bCs/>
          <w:i w:val="0"/>
          <w:iCs w:val="0"/>
          <w:caps w:val="0"/>
          <w:color w:val="000000"/>
          <w:spacing w:val="0"/>
          <w:sz w:val="44"/>
          <w:szCs w:val="44"/>
          <w:lang w:val="en-US" w:eastAsia="zh-CN"/>
        </w:rPr>
        <w:t>临朐县沂泰建材有限公司混合砂报价函</w:t>
      </w:r>
    </w:p>
    <w:tbl>
      <w:tblPr>
        <w:tblStyle w:val="8"/>
        <w:tblpPr w:leftFromText="180" w:rightFromText="180" w:vertAnchor="text" w:horzAnchor="page" w:tblpX="752" w:tblpY="383"/>
        <w:tblOverlap w:val="never"/>
        <w:tblW w:w="104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729"/>
        <w:gridCol w:w="1426"/>
        <w:gridCol w:w="3075"/>
        <w:gridCol w:w="2447"/>
        <w:gridCol w:w="17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172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24"/>
                <w:szCs w:val="24"/>
              </w:rPr>
            </w:pPr>
            <w:r>
              <w:rPr>
                <w:rFonts w:hint="eastAsia" w:ascii="宋体" w:hAnsi="宋体" w:eastAsia="宋体" w:cs="宋体"/>
                <w:i w:val="0"/>
                <w:iCs w:val="0"/>
                <w:caps w:val="0"/>
                <w:color w:val="000000"/>
                <w:spacing w:val="0"/>
                <w:sz w:val="24"/>
                <w:szCs w:val="24"/>
              </w:rPr>
              <w:t>采购内容</w:t>
            </w:r>
          </w:p>
        </w:tc>
        <w:tc>
          <w:tcPr>
            <w:tcW w:w="142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24"/>
                <w:szCs w:val="24"/>
              </w:rPr>
            </w:pPr>
            <w:r>
              <w:rPr>
                <w:rFonts w:hint="eastAsia" w:ascii="宋体" w:hAnsi="宋体" w:eastAsia="宋体" w:cs="宋体"/>
                <w:i w:val="0"/>
                <w:iCs w:val="0"/>
                <w:caps w:val="0"/>
                <w:color w:val="000000"/>
                <w:spacing w:val="0"/>
                <w:sz w:val="24"/>
                <w:szCs w:val="24"/>
              </w:rPr>
              <w:t>资格要求</w:t>
            </w:r>
          </w:p>
        </w:tc>
        <w:tc>
          <w:tcPr>
            <w:tcW w:w="307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24"/>
                <w:szCs w:val="24"/>
              </w:rPr>
            </w:pPr>
            <w:r>
              <w:rPr>
                <w:rFonts w:hint="eastAsia" w:ascii="宋体" w:hAnsi="宋体" w:eastAsia="宋体" w:cs="宋体"/>
                <w:i w:val="0"/>
                <w:iCs w:val="0"/>
                <w:caps w:val="0"/>
                <w:color w:val="000000"/>
                <w:spacing w:val="0"/>
                <w:sz w:val="24"/>
                <w:szCs w:val="24"/>
              </w:rPr>
              <w:t>质量技术要求</w:t>
            </w:r>
          </w:p>
        </w:tc>
        <w:tc>
          <w:tcPr>
            <w:tcW w:w="244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eastAsiaTheme="minorEastAsia"/>
                <w:sz w:val="24"/>
                <w:szCs w:val="24"/>
                <w:lang w:val="en-US" w:eastAsia="zh-CN"/>
              </w:rPr>
            </w:pPr>
            <w:r>
              <w:rPr>
                <w:rFonts w:hint="eastAsia" w:ascii="宋体" w:hAnsi="宋体" w:eastAsia="宋体" w:cs="宋体"/>
                <w:i w:val="0"/>
                <w:iCs w:val="0"/>
                <w:caps w:val="0"/>
                <w:color w:val="000000"/>
                <w:spacing w:val="0"/>
                <w:sz w:val="24"/>
                <w:szCs w:val="24"/>
                <w:lang w:val="en-US" w:eastAsia="zh-CN"/>
              </w:rPr>
              <w:t>报价要求</w:t>
            </w:r>
          </w:p>
        </w:tc>
        <w:tc>
          <w:tcPr>
            <w:tcW w:w="1758"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单价(元/吨）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359" w:hRule="atLeast"/>
        </w:trPr>
        <w:tc>
          <w:tcPr>
            <w:tcW w:w="1729" w:type="dxa"/>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24"/>
                <w:szCs w:val="24"/>
              </w:rPr>
            </w:pPr>
            <w:r>
              <w:rPr>
                <w:rFonts w:hint="eastAsia" w:ascii="宋体" w:hAnsi="宋体" w:eastAsia="宋体" w:cs="宋体"/>
                <w:i w:val="0"/>
                <w:iCs w:val="0"/>
                <w:caps w:val="0"/>
                <w:color w:val="000000"/>
                <w:spacing w:val="0"/>
                <w:sz w:val="24"/>
                <w:szCs w:val="24"/>
                <w:lang w:val="en-US" w:eastAsia="zh-CN"/>
              </w:rPr>
              <w:t>混合砂</w:t>
            </w:r>
            <w:r>
              <w:rPr>
                <w:rFonts w:hint="eastAsia" w:ascii="宋体" w:hAnsi="宋体" w:eastAsia="宋体" w:cs="宋体"/>
                <w:i w:val="0"/>
                <w:iCs w:val="0"/>
                <w:caps w:val="0"/>
                <w:color w:val="000000"/>
                <w:spacing w:val="0"/>
                <w:sz w:val="24"/>
                <w:szCs w:val="24"/>
              </w:rPr>
              <w:t>1</w:t>
            </w:r>
            <w:r>
              <w:rPr>
                <w:rFonts w:hint="eastAsia" w:ascii="宋体" w:hAnsi="宋体" w:eastAsia="宋体" w:cs="宋体"/>
                <w:i w:val="0"/>
                <w:iCs w:val="0"/>
                <w:caps w:val="0"/>
                <w:color w:val="000000"/>
                <w:spacing w:val="0"/>
                <w:sz w:val="24"/>
                <w:szCs w:val="24"/>
                <w:lang w:val="en-US" w:eastAsia="zh-CN"/>
              </w:rPr>
              <w:t>0</w:t>
            </w:r>
            <w:r>
              <w:rPr>
                <w:rFonts w:hint="eastAsia" w:ascii="宋体" w:hAnsi="宋体" w:eastAsia="宋体" w:cs="宋体"/>
                <w:i w:val="0"/>
                <w:iCs w:val="0"/>
                <w:caps w:val="0"/>
                <w:color w:val="000000"/>
                <w:spacing w:val="0"/>
                <w:sz w:val="24"/>
                <w:szCs w:val="24"/>
              </w:rPr>
              <w:t>000吨</w:t>
            </w:r>
          </w:p>
        </w:tc>
        <w:tc>
          <w:tcPr>
            <w:tcW w:w="1426"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24"/>
                <w:szCs w:val="24"/>
              </w:rPr>
            </w:pPr>
            <w:r>
              <w:rPr>
                <w:rFonts w:hint="eastAsia" w:ascii="宋体" w:hAnsi="宋体" w:eastAsia="宋体" w:cs="宋体"/>
                <w:i w:val="0"/>
                <w:iCs w:val="0"/>
                <w:caps w:val="0"/>
                <w:color w:val="000000"/>
                <w:spacing w:val="0"/>
                <w:sz w:val="24"/>
                <w:szCs w:val="24"/>
              </w:rPr>
              <w:t>1.具有相应生产或供应能力的单位；</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sz w:val="24"/>
                <w:szCs w:val="24"/>
              </w:rPr>
            </w:pPr>
            <w:r>
              <w:rPr>
                <w:rFonts w:hint="eastAsia" w:ascii="宋体" w:hAnsi="宋体" w:eastAsia="宋体" w:cs="宋体"/>
                <w:i w:val="0"/>
                <w:iCs w:val="0"/>
                <w:caps w:val="0"/>
                <w:color w:val="000000"/>
                <w:spacing w:val="0"/>
                <w:sz w:val="24"/>
                <w:szCs w:val="24"/>
              </w:rPr>
              <w:t>2.本项目不接受联合体参加投标。</w:t>
            </w:r>
          </w:p>
        </w:tc>
        <w:tc>
          <w:tcPr>
            <w:tcW w:w="3075" w:type="dxa"/>
            <w:tcBorders>
              <w:top w:val="single" w:color="auto" w:sz="6" w:space="0"/>
              <w:left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符合JGJ52-2006标准要求。中砂</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default"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其中细度模数3.0-2.3，含泥量≤2.0%，泥块含量≤1.0%，总压碎指标小于30%。</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both"/>
              <w:rPr>
                <w:sz w:val="24"/>
                <w:szCs w:val="24"/>
              </w:rPr>
            </w:pPr>
          </w:p>
        </w:tc>
        <w:tc>
          <w:tcPr>
            <w:tcW w:w="2447"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eastAsiaTheme="minorEastAsia"/>
                <w:sz w:val="24"/>
                <w:szCs w:val="24"/>
                <w:lang w:val="en-US" w:eastAsia="zh-CN"/>
              </w:rPr>
            </w:pPr>
            <w:r>
              <w:rPr>
                <w:rFonts w:hint="eastAsia" w:ascii="宋体" w:hAnsi="宋体" w:eastAsia="宋体" w:cs="宋体"/>
                <w:i w:val="0"/>
                <w:iCs w:val="0"/>
                <w:caps w:val="0"/>
                <w:color w:val="000000"/>
                <w:spacing w:val="0"/>
                <w:sz w:val="24"/>
                <w:szCs w:val="24"/>
              </w:rPr>
              <w:t>意向供应商需在报价之前将混合砂样品送至临朐县沂泰建材公司实验室进行样品检测，检测合格并具有实验室出具的样品检测合格单后方可参与报价。</w:t>
            </w:r>
          </w:p>
        </w:tc>
        <w:tc>
          <w:tcPr>
            <w:tcW w:w="1758" w:type="dxa"/>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5" w:lineRule="atLeast"/>
              <w:ind w:left="0" w:right="0"/>
              <w:jc w:val="center"/>
              <w:rPr>
                <w:rFonts w:hint="eastAsia" w:eastAsiaTheme="minor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35" w:type="dxa"/>
            <w:gridSpan w:val="5"/>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75" w:beforeAutospacing="0" w:after="75" w:afterAutospacing="0" w:line="360" w:lineRule="atLeast"/>
              <w:ind w:left="0" w:right="0" w:firstLine="555"/>
              <w:rPr>
                <w:rFonts w:hint="default" w:eastAsiaTheme="minorEastAsia"/>
                <w:sz w:val="24"/>
                <w:szCs w:val="24"/>
                <w:lang w:val="en-US" w:eastAsia="zh-CN"/>
              </w:rPr>
            </w:pPr>
            <w:r>
              <w:rPr>
                <w:rFonts w:hint="eastAsia"/>
                <w:b/>
                <w:bCs/>
                <w:sz w:val="24"/>
                <w:szCs w:val="24"/>
                <w:highlight w:val="none"/>
                <w:lang w:val="en-US" w:eastAsia="zh-CN"/>
              </w:rPr>
              <w:t>验收标准：</w:t>
            </w:r>
            <w:r>
              <w:rPr>
                <w:rFonts w:hint="eastAsia" w:ascii="宋体" w:hAnsi="宋体" w:eastAsia="宋体" w:cs="宋体"/>
                <w:b/>
                <w:bCs/>
                <w:i w:val="0"/>
                <w:iCs w:val="0"/>
                <w:caps w:val="0"/>
                <w:color w:val="000000"/>
                <w:spacing w:val="0"/>
                <w:sz w:val="24"/>
                <w:szCs w:val="24"/>
                <w:highlight w:val="none"/>
              </w:rPr>
              <w:t>结算数量按甲方过磅单确认的实际供货数量进行结算，含水率按</w:t>
            </w:r>
            <w:r>
              <w:rPr>
                <w:rFonts w:hint="eastAsia" w:ascii="宋体" w:hAnsi="宋体" w:eastAsia="宋体" w:cs="宋体"/>
                <w:b/>
                <w:bCs/>
                <w:i w:val="0"/>
                <w:iCs w:val="0"/>
                <w:caps w:val="0"/>
                <w:color w:val="000000"/>
                <w:spacing w:val="0"/>
                <w:sz w:val="24"/>
                <w:szCs w:val="24"/>
                <w:highlight w:val="none"/>
                <w:lang w:val="en-US" w:eastAsia="zh-CN"/>
              </w:rPr>
              <w:t>天抽检，作为该日供货量的平均含水率</w:t>
            </w:r>
            <w:r>
              <w:rPr>
                <w:rFonts w:hint="eastAsia" w:ascii="宋体" w:hAnsi="宋体" w:eastAsia="宋体" w:cs="宋体"/>
                <w:b/>
                <w:bCs/>
                <w:i w:val="0"/>
                <w:iCs w:val="0"/>
                <w:caps w:val="0"/>
                <w:color w:val="000000"/>
                <w:spacing w:val="0"/>
                <w:sz w:val="24"/>
                <w:szCs w:val="24"/>
                <w:highlight w:val="none"/>
              </w:rPr>
              <w:t>，扣减相应</w:t>
            </w:r>
            <w:r>
              <w:rPr>
                <w:rFonts w:hint="eastAsia" w:ascii="宋体" w:hAnsi="宋体" w:eastAsia="宋体" w:cs="宋体"/>
                <w:b/>
                <w:bCs/>
                <w:i w:val="0"/>
                <w:iCs w:val="0"/>
                <w:caps w:val="0"/>
                <w:color w:val="000000"/>
                <w:spacing w:val="0"/>
                <w:sz w:val="24"/>
                <w:szCs w:val="24"/>
                <w:highlight w:val="none"/>
                <w:lang w:val="en-US" w:eastAsia="zh-CN"/>
              </w:rPr>
              <w:t>水分</w:t>
            </w:r>
            <w:r>
              <w:rPr>
                <w:rFonts w:hint="eastAsia" w:ascii="宋体" w:hAnsi="宋体" w:eastAsia="宋体" w:cs="宋体"/>
                <w:b/>
                <w:bCs/>
                <w:i w:val="0"/>
                <w:iCs w:val="0"/>
                <w:caps w:val="0"/>
                <w:color w:val="000000"/>
                <w:spacing w:val="0"/>
                <w:sz w:val="24"/>
                <w:szCs w:val="24"/>
                <w:highlight w:val="none"/>
              </w:rPr>
              <w:t>重量</w:t>
            </w:r>
            <w:r>
              <w:rPr>
                <w:rFonts w:hint="eastAsia" w:ascii="宋体" w:hAnsi="宋体" w:eastAsia="宋体" w:cs="宋体"/>
                <w:b/>
                <w:bCs/>
                <w:i w:val="0"/>
                <w:iCs w:val="0"/>
                <w:caps w:val="0"/>
                <w:color w:val="000000"/>
                <w:spacing w:val="0"/>
                <w:sz w:val="24"/>
                <w:szCs w:val="24"/>
                <w:highlight w:val="none"/>
                <w:lang w:val="en-US" w:eastAsia="zh-CN"/>
              </w:rPr>
              <w:t>后为实际重量</w:t>
            </w:r>
            <w:r>
              <w:rPr>
                <w:rFonts w:hint="eastAsia" w:ascii="宋体" w:hAnsi="宋体" w:eastAsia="宋体" w:cs="宋体"/>
                <w:b/>
                <w:bCs/>
                <w:i w:val="0"/>
                <w:iCs w:val="0"/>
                <w:caps w:val="0"/>
                <w:color w:val="000000"/>
                <w:spacing w:val="0"/>
                <w:sz w:val="24"/>
                <w:szCs w:val="24"/>
                <w:highlight w:val="none"/>
              </w:rPr>
              <w:t>。</w:t>
            </w:r>
            <w:r>
              <w:rPr>
                <w:rFonts w:hint="eastAsia" w:ascii="宋体" w:hAnsi="宋体" w:eastAsia="宋体" w:cs="宋体"/>
                <w:b/>
                <w:bCs/>
                <w:i w:val="0"/>
                <w:iCs w:val="0"/>
                <w:caps w:val="0"/>
                <w:color w:val="000000"/>
                <w:spacing w:val="0"/>
                <w:sz w:val="24"/>
                <w:szCs w:val="24"/>
                <w:highlight w:val="none"/>
                <w:lang w:val="en-US" w:eastAsia="zh-CN"/>
              </w:rPr>
              <w:t>供应商在报价时充分考虑到含水量的问题。（例：某日，供货10车，抽检3车，含水率分别为7%、8%、9%，则该日10车平均含水率为8%，扣减10车为8%的水分后的实际重量为结算重量）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435" w:type="dxa"/>
            <w:gridSpan w:val="5"/>
            <w:tcBorders>
              <w:top w:val="single" w:color="auto" w:sz="6" w:space="0"/>
              <w:left w:val="single" w:color="auto" w:sz="6" w:space="0"/>
              <w:bottom w:val="single" w:color="auto" w:sz="6" w:space="0"/>
              <w:right w:val="single" w:color="auto" w:sz="6" w:space="0"/>
            </w:tcBorders>
            <w:shd w:val="clear" w:color="auto" w:fill="auto"/>
            <w:tcMar>
              <w:top w:w="75" w:type="dxa"/>
              <w:left w:w="150" w:type="dxa"/>
              <w:bottom w:w="75" w:type="dxa"/>
              <w:right w:w="150" w:type="dxa"/>
            </w:tcMar>
            <w:vAlign w:val="center"/>
          </w:tcPr>
          <w:p>
            <w:pPr>
              <w:pStyle w:val="6"/>
              <w:keepNext w:val="0"/>
              <w:keepLines w:val="0"/>
              <w:widowControl/>
              <w:suppressLineNumbers w:val="0"/>
              <w:spacing w:before="75" w:beforeAutospacing="0" w:after="75" w:afterAutospacing="0" w:line="360" w:lineRule="atLeast"/>
              <w:ind w:left="0" w:right="0" w:firstLine="555"/>
              <w:rPr>
                <w:rFonts w:hint="default"/>
                <w:b/>
                <w:bCs/>
                <w:sz w:val="24"/>
                <w:szCs w:val="24"/>
                <w:highlight w:val="yellow"/>
                <w:lang w:val="en-US" w:eastAsia="zh-CN"/>
              </w:rPr>
            </w:pPr>
            <w:r>
              <w:rPr>
                <w:rFonts w:hint="eastAsia"/>
                <w:b/>
                <w:bCs/>
                <w:sz w:val="24"/>
                <w:szCs w:val="24"/>
                <w:highlight w:val="none"/>
                <w:lang w:val="en-US" w:eastAsia="zh-CN"/>
              </w:rPr>
              <w:t>总价：</w:t>
            </w:r>
          </w:p>
        </w:tc>
      </w:tr>
    </w:tbl>
    <w:p>
      <w:pPr>
        <w:pStyle w:val="6"/>
        <w:keepNext w:val="0"/>
        <w:keepLines w:val="0"/>
        <w:widowControl/>
        <w:numPr>
          <w:ilvl w:val="0"/>
          <w:numId w:val="0"/>
        </w:numPr>
        <w:suppressLineNumbers w:val="0"/>
        <w:spacing w:before="75" w:beforeAutospacing="0" w:after="75" w:afterAutospacing="0" w:line="495" w:lineRule="atLeast"/>
        <w:ind w:right="0"/>
        <w:rPr>
          <w:rStyle w:val="10"/>
          <w:rFonts w:hint="eastAsia" w:ascii="仿宋" w:hAnsi="仿宋" w:eastAsia="仿宋" w:cs="仿宋"/>
          <w:i w:val="0"/>
          <w:iCs w:val="0"/>
          <w:caps w:val="0"/>
          <w:color w:val="000000"/>
          <w:spacing w:val="0"/>
          <w:sz w:val="28"/>
          <w:szCs w:val="28"/>
          <w:lang w:val="en-US" w:eastAsia="zh-CN"/>
        </w:rPr>
      </w:pPr>
      <w:r>
        <w:rPr>
          <w:rStyle w:val="10"/>
          <w:rFonts w:hint="eastAsia" w:ascii="仿宋" w:hAnsi="仿宋" w:eastAsia="仿宋" w:cs="仿宋"/>
          <w:i w:val="0"/>
          <w:iCs w:val="0"/>
          <w:caps w:val="0"/>
          <w:color w:val="000000"/>
          <w:spacing w:val="0"/>
          <w:sz w:val="28"/>
          <w:szCs w:val="28"/>
          <w:lang w:val="en-US" w:eastAsia="zh-CN"/>
        </w:rPr>
        <w:t xml:space="preserve"> </w:t>
      </w:r>
    </w:p>
    <w:p>
      <w:pPr>
        <w:pStyle w:val="6"/>
        <w:keepNext w:val="0"/>
        <w:keepLines w:val="0"/>
        <w:widowControl/>
        <w:numPr>
          <w:ilvl w:val="0"/>
          <w:numId w:val="0"/>
        </w:numPr>
        <w:suppressLineNumbers w:val="0"/>
        <w:spacing w:before="75" w:beforeAutospacing="0" w:after="75" w:afterAutospacing="0" w:line="495" w:lineRule="atLeast"/>
        <w:ind w:right="0"/>
        <w:rPr>
          <w:rStyle w:val="10"/>
          <w:rFonts w:hint="eastAsia" w:ascii="仿宋" w:hAnsi="仿宋" w:eastAsia="仿宋" w:cs="仿宋"/>
          <w:i w:val="0"/>
          <w:iCs w:val="0"/>
          <w:caps w:val="0"/>
          <w:color w:val="000000"/>
          <w:spacing w:val="0"/>
          <w:sz w:val="28"/>
          <w:szCs w:val="28"/>
          <w:lang w:val="en-US" w:eastAsia="zh-CN"/>
        </w:rPr>
      </w:pPr>
    </w:p>
    <w:p>
      <w:pPr>
        <w:pStyle w:val="6"/>
        <w:keepNext w:val="0"/>
        <w:keepLines w:val="0"/>
        <w:widowControl/>
        <w:numPr>
          <w:ilvl w:val="0"/>
          <w:numId w:val="0"/>
        </w:numPr>
        <w:suppressLineNumbers w:val="0"/>
        <w:spacing w:before="75" w:beforeAutospacing="0" w:after="75" w:afterAutospacing="0" w:line="495" w:lineRule="atLeast"/>
        <w:ind w:right="0"/>
        <w:rPr>
          <w:rStyle w:val="10"/>
          <w:rFonts w:hint="eastAsia" w:ascii="仿宋" w:hAnsi="仿宋" w:eastAsia="仿宋" w:cs="仿宋"/>
          <w:i w:val="0"/>
          <w:iCs w:val="0"/>
          <w:caps w:val="0"/>
          <w:color w:val="000000"/>
          <w:spacing w:val="0"/>
          <w:sz w:val="28"/>
          <w:szCs w:val="28"/>
          <w:lang w:val="en-US" w:eastAsia="zh-CN"/>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auto"/>
        <w:ind w:right="0" w:firstLine="5341" w:firstLineChars="1900"/>
        <w:textAlignment w:val="auto"/>
        <w:rPr>
          <w:rFonts w:hint="default" w:ascii="宋体" w:hAnsi="宋体" w:eastAsia="宋体" w:cs="宋体"/>
          <w:b/>
          <w:bCs/>
          <w:i w:val="0"/>
          <w:iCs w:val="0"/>
          <w:caps w:val="0"/>
          <w:color w:val="000000"/>
          <w:spacing w:val="0"/>
          <w:sz w:val="28"/>
          <w:szCs w:val="28"/>
          <w:u w:val="single"/>
          <w:lang w:val="en-US" w:eastAsia="zh-CN"/>
        </w:rPr>
      </w:pPr>
      <w:r>
        <w:rPr>
          <w:rFonts w:hint="eastAsia" w:ascii="宋体" w:hAnsi="宋体" w:eastAsia="宋体" w:cs="宋体"/>
          <w:b/>
          <w:bCs/>
          <w:i w:val="0"/>
          <w:iCs w:val="0"/>
          <w:caps w:val="0"/>
          <w:color w:val="000000"/>
          <w:spacing w:val="0"/>
          <w:sz w:val="28"/>
          <w:szCs w:val="28"/>
        </w:rPr>
        <w:t>报价</w:t>
      </w:r>
      <w:r>
        <w:rPr>
          <w:rFonts w:hint="eastAsia" w:ascii="宋体" w:hAnsi="宋体" w:eastAsia="宋体" w:cs="宋体"/>
          <w:b/>
          <w:bCs/>
          <w:i w:val="0"/>
          <w:iCs w:val="0"/>
          <w:caps w:val="0"/>
          <w:color w:val="000000"/>
          <w:spacing w:val="0"/>
          <w:sz w:val="28"/>
          <w:szCs w:val="28"/>
          <w:lang w:val="en-US" w:eastAsia="zh-CN"/>
        </w:rPr>
        <w:t>单位</w:t>
      </w:r>
      <w:r>
        <w:rPr>
          <w:rFonts w:hint="eastAsia" w:ascii="宋体" w:hAnsi="宋体" w:eastAsia="宋体" w:cs="宋体"/>
          <w:b/>
          <w:bCs/>
          <w:i w:val="0"/>
          <w:iCs w:val="0"/>
          <w:caps w:val="0"/>
          <w:color w:val="000000"/>
          <w:spacing w:val="0"/>
          <w:sz w:val="28"/>
          <w:szCs w:val="28"/>
        </w:rPr>
        <w:t>：</w:t>
      </w:r>
      <w:r>
        <w:rPr>
          <w:rFonts w:hint="eastAsia" w:ascii="宋体" w:hAnsi="宋体" w:eastAsia="宋体" w:cs="宋体"/>
          <w:b/>
          <w:bCs/>
          <w:i w:val="0"/>
          <w:iCs w:val="0"/>
          <w:caps w:val="0"/>
          <w:color w:val="000000"/>
          <w:spacing w:val="0"/>
          <w:sz w:val="28"/>
          <w:szCs w:val="28"/>
          <w:u w:val="single"/>
        </w:rPr>
        <w:t> （盖章</w:t>
      </w:r>
      <w:r>
        <w:rPr>
          <w:rFonts w:hint="eastAsia" w:ascii="宋体" w:hAnsi="宋体" w:eastAsia="宋体" w:cs="宋体"/>
          <w:b/>
          <w:bCs/>
          <w:i w:val="0"/>
          <w:iCs w:val="0"/>
          <w:caps w:val="0"/>
          <w:color w:val="000000"/>
          <w:spacing w:val="0"/>
          <w:sz w:val="28"/>
          <w:szCs w:val="28"/>
          <w:u w:val="single"/>
          <w:lang w:eastAsia="zh-CN"/>
        </w:rPr>
        <w:t>）</w:t>
      </w:r>
      <w:r>
        <w:rPr>
          <w:rFonts w:hint="eastAsia" w:ascii="宋体" w:hAnsi="宋体" w:eastAsia="宋体" w:cs="宋体"/>
          <w:b/>
          <w:bCs/>
          <w:i w:val="0"/>
          <w:iCs w:val="0"/>
          <w:caps w:val="0"/>
          <w:color w:val="000000"/>
          <w:spacing w:val="0"/>
          <w:sz w:val="28"/>
          <w:szCs w:val="28"/>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auto"/>
        <w:ind w:right="0" w:firstLine="5341" w:firstLineChars="1900"/>
        <w:textAlignment w:val="auto"/>
        <w:rPr>
          <w:rFonts w:hint="default" w:ascii="宋体" w:hAnsi="宋体" w:eastAsia="宋体" w:cs="宋体"/>
          <w:b/>
          <w:bCs/>
          <w:i w:val="0"/>
          <w:iCs w:val="0"/>
          <w:caps w:val="0"/>
          <w:color w:val="000000"/>
          <w:spacing w:val="0"/>
          <w:sz w:val="28"/>
          <w:szCs w:val="28"/>
          <w:u w:val="single"/>
          <w:lang w:val="en-US" w:eastAsia="zh-CN"/>
        </w:rPr>
      </w:pPr>
      <w:r>
        <w:rPr>
          <w:rFonts w:hint="eastAsia" w:ascii="宋体" w:hAnsi="宋体" w:eastAsia="宋体" w:cs="宋体"/>
          <w:b/>
          <w:bCs/>
          <w:i w:val="0"/>
          <w:iCs w:val="0"/>
          <w:caps w:val="0"/>
          <w:color w:val="000000"/>
          <w:spacing w:val="0"/>
          <w:sz w:val="28"/>
          <w:szCs w:val="28"/>
          <w:u w:val="none"/>
          <w:lang w:val="en-US" w:eastAsia="zh-CN"/>
        </w:rPr>
        <w:t>法人或代表人签字：</w:t>
      </w:r>
      <w:r>
        <w:rPr>
          <w:rFonts w:hint="eastAsia" w:ascii="宋体" w:hAnsi="宋体" w:eastAsia="宋体" w:cs="宋体"/>
          <w:b/>
          <w:bCs/>
          <w:i w:val="0"/>
          <w:iCs w:val="0"/>
          <w:caps w:val="0"/>
          <w:color w:val="000000"/>
          <w:spacing w:val="0"/>
          <w:sz w:val="28"/>
          <w:szCs w:val="28"/>
          <w:u w:val="single"/>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600" w:lineRule="auto"/>
        <w:ind w:right="0" w:firstLine="5341" w:firstLineChars="1900"/>
        <w:textAlignment w:val="auto"/>
      </w:pPr>
      <w:r>
        <w:rPr>
          <w:rFonts w:hint="eastAsia" w:ascii="宋体" w:hAnsi="宋体" w:eastAsia="宋体" w:cs="宋体"/>
          <w:b/>
          <w:bCs/>
          <w:i w:val="0"/>
          <w:iCs w:val="0"/>
          <w:caps w:val="0"/>
          <w:color w:val="000000"/>
          <w:spacing w:val="0"/>
          <w:sz w:val="28"/>
          <w:szCs w:val="28"/>
        </w:rPr>
        <w:t>日期：</w:t>
      </w:r>
      <w:r>
        <w:rPr>
          <w:rFonts w:hint="eastAsia" w:ascii="宋体" w:hAnsi="宋体" w:eastAsia="宋体" w:cs="宋体"/>
          <w:b/>
          <w:bCs/>
          <w:i w:val="0"/>
          <w:iCs w:val="0"/>
          <w:caps w:val="0"/>
          <w:color w:val="000000"/>
          <w:spacing w:val="0"/>
          <w:sz w:val="28"/>
          <w:szCs w:val="28"/>
          <w:u w:val="single"/>
        </w:rPr>
        <w:t>   </w:t>
      </w:r>
      <w:r>
        <w:rPr>
          <w:rFonts w:hint="eastAsia" w:ascii="宋体" w:hAnsi="宋体" w:eastAsia="宋体" w:cs="宋体"/>
          <w:b/>
          <w:bCs/>
          <w:i w:val="0"/>
          <w:iCs w:val="0"/>
          <w:caps w:val="0"/>
          <w:color w:val="000000"/>
          <w:spacing w:val="0"/>
          <w:sz w:val="28"/>
          <w:szCs w:val="28"/>
        </w:rPr>
        <w:t>年</w:t>
      </w:r>
      <w:r>
        <w:rPr>
          <w:rFonts w:hint="eastAsia" w:ascii="宋体" w:hAnsi="宋体" w:eastAsia="宋体" w:cs="宋体"/>
          <w:b/>
          <w:bCs/>
          <w:i w:val="0"/>
          <w:iCs w:val="0"/>
          <w:caps w:val="0"/>
          <w:color w:val="000000"/>
          <w:spacing w:val="0"/>
          <w:sz w:val="28"/>
          <w:szCs w:val="28"/>
          <w:u w:val="single"/>
        </w:rPr>
        <w:t> </w:t>
      </w:r>
      <w:r>
        <w:rPr>
          <w:rFonts w:hint="eastAsia" w:ascii="宋体" w:hAnsi="宋体" w:eastAsia="宋体" w:cs="宋体"/>
          <w:b/>
          <w:bCs/>
          <w:i w:val="0"/>
          <w:iCs w:val="0"/>
          <w:caps w:val="0"/>
          <w:color w:val="000000"/>
          <w:spacing w:val="0"/>
          <w:sz w:val="28"/>
          <w:szCs w:val="28"/>
          <w:u w:val="single"/>
          <w:lang w:val="en-US" w:eastAsia="zh-CN"/>
        </w:rPr>
        <w:t xml:space="preserve">   </w:t>
      </w:r>
      <w:r>
        <w:rPr>
          <w:rFonts w:hint="eastAsia" w:ascii="宋体" w:hAnsi="宋体" w:eastAsia="宋体" w:cs="宋体"/>
          <w:b/>
          <w:bCs/>
          <w:i w:val="0"/>
          <w:iCs w:val="0"/>
          <w:caps w:val="0"/>
          <w:color w:val="000000"/>
          <w:spacing w:val="0"/>
          <w:sz w:val="28"/>
          <w:szCs w:val="28"/>
        </w:rPr>
        <w:t>月</w:t>
      </w:r>
      <w:r>
        <w:rPr>
          <w:rFonts w:hint="eastAsia" w:ascii="宋体" w:hAnsi="宋体" w:eastAsia="宋体" w:cs="宋体"/>
          <w:b/>
          <w:bCs/>
          <w:i w:val="0"/>
          <w:iCs w:val="0"/>
          <w:caps w:val="0"/>
          <w:color w:val="000000"/>
          <w:spacing w:val="0"/>
          <w:sz w:val="28"/>
          <w:szCs w:val="28"/>
          <w:u w:val="single"/>
        </w:rPr>
        <w:t> </w:t>
      </w:r>
      <w:r>
        <w:rPr>
          <w:rFonts w:hint="eastAsia" w:ascii="宋体" w:hAnsi="宋体" w:eastAsia="宋体" w:cs="宋体"/>
          <w:b/>
          <w:bCs/>
          <w:i w:val="0"/>
          <w:iCs w:val="0"/>
          <w:caps w:val="0"/>
          <w:color w:val="000000"/>
          <w:spacing w:val="0"/>
          <w:sz w:val="28"/>
          <w:szCs w:val="28"/>
          <w:u w:val="single"/>
          <w:lang w:val="en-US" w:eastAsia="zh-CN"/>
        </w:rPr>
        <w:t xml:space="preserve">   </w:t>
      </w:r>
      <w:r>
        <w:rPr>
          <w:rFonts w:hint="eastAsia" w:ascii="宋体" w:hAnsi="宋体" w:eastAsia="宋体" w:cs="宋体"/>
          <w:b/>
          <w:bCs/>
          <w:i w:val="0"/>
          <w:iCs w:val="0"/>
          <w:caps w:val="0"/>
          <w:color w:val="000000"/>
          <w:spacing w:val="0"/>
          <w:sz w:val="28"/>
          <w:szCs w:val="28"/>
        </w:rPr>
        <w:t>日</w:t>
      </w:r>
    </w:p>
    <w:sectPr>
      <w:pgSz w:w="11906" w:h="16838"/>
      <w:pgMar w:top="1440" w:right="129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YmNjNGUwMTRiZTA1ZmE2OGY2MzNmY2E2YjE4NTAifQ=="/>
  </w:docVars>
  <w:rsids>
    <w:rsidRoot w:val="36C1287E"/>
    <w:rsid w:val="2C712348"/>
    <w:rsid w:val="31E96128"/>
    <w:rsid w:val="36C1287E"/>
    <w:rsid w:val="3A3C7023"/>
    <w:rsid w:val="51FC7D23"/>
    <w:rsid w:val="5EFB3299"/>
    <w:rsid w:val="7836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Theme="minorHAnsi" w:eastAsiaTheme="minorEastAsia" w:cstheme="minorBidi"/>
    </w:rPr>
  </w:style>
  <w:style w:type="paragraph" w:styleId="2">
    <w:name w:val="heading 1"/>
    <w:basedOn w:val="1"/>
    <w:next w:val="1"/>
    <w:qFormat/>
    <w:uiPriority w:val="0"/>
    <w:pPr>
      <w:spacing w:before="480"/>
    </w:pPr>
    <w:rPr>
      <w:b/>
      <w:color w:val="345A8A"/>
      <w:sz w:val="32"/>
    </w:rPr>
  </w:style>
  <w:style w:type="paragraph" w:styleId="3">
    <w:name w:val="heading 2"/>
    <w:basedOn w:val="1"/>
    <w:next w:val="1"/>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Subtitle"/>
    <w:basedOn w:val="1"/>
    <w:qFormat/>
    <w:uiPriority w:val="0"/>
    <w:rPr>
      <w:i/>
      <w:color w:val="4F81BD"/>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Title"/>
    <w:basedOn w:val="1"/>
    <w:qFormat/>
    <w:uiPriority w:val="0"/>
    <w:pPr>
      <w:spacing w:after="300"/>
    </w:pPr>
    <w:rPr>
      <w:color w:val="17365D"/>
      <w:sz w:val="52"/>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412</Words>
  <Characters>449</Characters>
  <Lines>0</Lines>
  <Paragraphs>0</Paragraphs>
  <TotalTime>41</TotalTime>
  <ScaleCrop>false</ScaleCrop>
  <LinksUpToDate>false</LinksUpToDate>
  <CharactersWithSpaces>485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2022-03-20T10:06:00Z</dcterms:created>
  <dc:creator>XXYU</dc:creator>
  <cp:lastModifiedBy>城投评审部</cp:lastModifiedBy>
  <dcterms:modified xsi:type="dcterms:W3CDTF">2023-04-07T07:01:22Z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947912E432EB4DC6A2390207CE45999D</vt:lpwstr>
  </property>
</Properties>
</file>