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8"/>
          <w:szCs w:val="28"/>
          <w:highlight w:val="none"/>
          <w:lang w:val="en-IE"/>
        </w:rPr>
      </w:pPr>
      <w:bookmarkStart w:id="19" w:name="_GoBack"/>
      <w:bookmarkEnd w:id="19"/>
      <w:r>
        <w:rPr>
          <w:rFonts w:hint="eastAsia" w:ascii="方正姚体" w:eastAsia="方正姚体"/>
          <w:color w:val="000000"/>
          <w:sz w:val="30"/>
          <w:szCs w:val="30"/>
          <w:highlight w:val="none"/>
        </w:rPr>
        <w:drawing>
          <wp:anchor distT="0" distB="0" distL="114300" distR="114300" simplePos="0" relativeHeight="251662336" behindDoc="0" locked="0" layoutInCell="1" allowOverlap="1">
            <wp:simplePos x="0" y="0"/>
            <wp:positionH relativeFrom="column">
              <wp:posOffset>3995420</wp:posOffset>
            </wp:positionH>
            <wp:positionV relativeFrom="paragraph">
              <wp:posOffset>231140</wp:posOffset>
            </wp:positionV>
            <wp:extent cx="1791335" cy="807085"/>
            <wp:effectExtent l="0" t="0" r="18415" b="12065"/>
            <wp:wrapNone/>
            <wp:docPr id="2" name="图片 2" descr="b556d12eca738eaa9844b97bb91ac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56d12eca738eaa9844b97bb91ac5c"/>
                    <pic:cNvPicPr>
                      <a:picLocks noChangeAspect="1"/>
                    </pic:cNvPicPr>
                  </pic:nvPicPr>
                  <pic:blipFill>
                    <a:blip r:embed="rId5"/>
                    <a:stretch>
                      <a:fillRect/>
                    </a:stretch>
                  </pic:blipFill>
                  <pic:spPr>
                    <a:xfrm>
                      <a:off x="0" y="0"/>
                      <a:ext cx="1791335" cy="807085"/>
                    </a:xfrm>
                    <a:prstGeom prst="rect">
                      <a:avLst/>
                    </a:prstGeom>
                    <a:noFill/>
                    <a:ln>
                      <a:noFill/>
                    </a:ln>
                  </pic:spPr>
                </pic:pic>
              </a:graphicData>
            </a:graphic>
          </wp:anchor>
        </w:drawing>
      </w:r>
    </w:p>
    <w:p>
      <w:pPr>
        <w:jc w:val="center"/>
        <w:rPr>
          <w:rFonts w:ascii="宋体" w:hAnsi="宋体" w:eastAsia="宋体" w:cs="宋体"/>
          <w:sz w:val="28"/>
          <w:szCs w:val="28"/>
          <w:highlight w:val="none"/>
          <w:lang w:val="en-IE"/>
        </w:rPr>
      </w:pPr>
    </w:p>
    <w:p>
      <w:pPr>
        <w:jc w:val="center"/>
        <w:rPr>
          <w:rFonts w:ascii="宋体" w:hAnsi="宋体" w:eastAsia="宋体" w:cs="宋体"/>
          <w:sz w:val="28"/>
          <w:szCs w:val="28"/>
          <w:highlight w:val="none"/>
          <w:lang w:val="en-IE"/>
        </w:rPr>
      </w:pPr>
    </w:p>
    <w:p>
      <w:pPr>
        <w:jc w:val="center"/>
        <w:rPr>
          <w:rFonts w:hint="eastAsia" w:asciiTheme="majorEastAsia" w:hAnsiTheme="majorEastAsia" w:eastAsiaTheme="majorEastAsia" w:cstheme="majorEastAsia"/>
          <w:b/>
          <w:bCs/>
          <w:color w:val="000000"/>
          <w:kern w:val="0"/>
          <w:sz w:val="52"/>
          <w:szCs w:val="52"/>
          <w:highlight w:val="none"/>
          <w:lang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heme="majorEastAsia" w:hAnsiTheme="majorEastAsia" w:eastAsiaTheme="majorEastAsia" w:cstheme="majorEastAsia"/>
          <w:b/>
          <w:bCs/>
          <w:color w:val="000000"/>
          <w:kern w:val="0"/>
          <w:sz w:val="52"/>
          <w:szCs w:val="52"/>
          <w:highlight w:val="none"/>
          <w:lang w:val="en-US" w:eastAsia="zh-CN"/>
        </w:rPr>
      </w:pPr>
      <w:r>
        <w:rPr>
          <w:rFonts w:hint="eastAsia" w:asciiTheme="majorEastAsia" w:hAnsiTheme="majorEastAsia" w:eastAsiaTheme="majorEastAsia" w:cstheme="majorEastAsia"/>
          <w:b/>
          <w:bCs/>
          <w:color w:val="000000"/>
          <w:kern w:val="0"/>
          <w:sz w:val="52"/>
          <w:szCs w:val="52"/>
          <w:highlight w:val="none"/>
          <w:lang w:eastAsia="zh-CN"/>
        </w:rPr>
        <w:t>营龙片区、南环片区、弥河片区一期棚户区改造项目外墙传热系数检测</w:t>
      </w:r>
    </w:p>
    <w:p>
      <w:pPr>
        <w:jc w:val="center"/>
        <w:rPr>
          <w:rFonts w:hint="eastAsia" w:asciiTheme="majorEastAsia" w:hAnsiTheme="majorEastAsia" w:eastAsiaTheme="majorEastAsia" w:cstheme="majorEastAsia"/>
          <w:b/>
          <w:bCs/>
          <w:color w:val="000000"/>
          <w:kern w:val="0"/>
          <w:sz w:val="52"/>
          <w:szCs w:val="52"/>
          <w:highlight w:val="none"/>
          <w:lang w:eastAsia="zh-CN"/>
        </w:rPr>
      </w:pPr>
    </w:p>
    <w:p>
      <w:pPr>
        <w:jc w:val="center"/>
        <w:rPr>
          <w:rFonts w:ascii="宋体" w:hAnsi="宋体" w:eastAsia="宋体" w:cs="宋体"/>
          <w:sz w:val="28"/>
          <w:szCs w:val="28"/>
          <w:highlight w:val="none"/>
          <w:lang w:val="en-IE"/>
        </w:rPr>
      </w:pPr>
    </w:p>
    <w:p>
      <w:pPr>
        <w:jc w:val="center"/>
        <w:rPr>
          <w:rFonts w:ascii="宋体" w:hAnsi="宋体" w:eastAsia="宋体" w:cs="宋体"/>
          <w:sz w:val="28"/>
          <w:szCs w:val="28"/>
          <w:highlight w:val="none"/>
          <w:lang w:val="en-IE"/>
        </w:rPr>
      </w:pPr>
    </w:p>
    <w:p>
      <w:pPr>
        <w:jc w:val="center"/>
        <w:rPr>
          <w:rFonts w:asciiTheme="majorEastAsia" w:hAnsiTheme="majorEastAsia" w:eastAsiaTheme="majorEastAsia" w:cstheme="majorEastAsia"/>
          <w:b/>
          <w:bCs/>
          <w:color w:val="000000"/>
          <w:kern w:val="0"/>
          <w:sz w:val="84"/>
          <w:szCs w:val="84"/>
          <w:highlight w:val="none"/>
        </w:rPr>
      </w:pPr>
      <w:r>
        <w:rPr>
          <w:rFonts w:hint="eastAsia" w:asciiTheme="majorEastAsia" w:hAnsiTheme="majorEastAsia" w:eastAsiaTheme="majorEastAsia" w:cstheme="majorEastAsia"/>
          <w:b/>
          <w:bCs/>
          <w:color w:val="000000"/>
          <w:kern w:val="0"/>
          <w:sz w:val="84"/>
          <w:szCs w:val="84"/>
          <w:highlight w:val="none"/>
        </w:rPr>
        <w:t>竞争性磋商文件</w:t>
      </w:r>
    </w:p>
    <w:p>
      <w:pPr>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cstheme="minorEastAsia"/>
          <w:b/>
          <w:bCs/>
          <w:color w:val="000000"/>
          <w:kern w:val="0"/>
          <w:sz w:val="32"/>
          <w:szCs w:val="32"/>
          <w:highlight w:val="none"/>
        </w:rPr>
        <w:t>项目编号：CT-2024-</w:t>
      </w:r>
      <w:r>
        <w:rPr>
          <w:rFonts w:hint="eastAsia" w:asciiTheme="minorEastAsia" w:hAnsiTheme="minorEastAsia" w:cstheme="minorEastAsia"/>
          <w:b/>
          <w:bCs/>
          <w:color w:val="000000"/>
          <w:kern w:val="0"/>
          <w:sz w:val="32"/>
          <w:szCs w:val="32"/>
          <w:highlight w:val="none"/>
          <w:lang w:eastAsia="zh-CN"/>
        </w:rPr>
        <w:t>004</w:t>
      </w:r>
    </w:p>
    <w:p>
      <w:pPr>
        <w:jc w:val="center"/>
        <w:rPr>
          <w:rFonts w:ascii="宋体" w:hAnsi="宋体" w:eastAsia="宋体" w:cs="宋体"/>
          <w:sz w:val="28"/>
          <w:szCs w:val="28"/>
          <w:highlight w:val="none"/>
          <w:lang w:val="en-IE"/>
        </w:rPr>
      </w:pPr>
    </w:p>
    <w:p>
      <w:pPr>
        <w:jc w:val="center"/>
        <w:rPr>
          <w:rFonts w:ascii="宋体" w:hAnsi="宋体" w:eastAsia="宋体" w:cs="宋体"/>
          <w:sz w:val="28"/>
          <w:szCs w:val="28"/>
          <w:highlight w:val="none"/>
          <w:lang w:val="en-IE"/>
        </w:rPr>
      </w:pPr>
    </w:p>
    <w:p>
      <w:pPr>
        <w:jc w:val="center"/>
        <w:rPr>
          <w:rFonts w:ascii="宋体" w:hAnsi="宋体" w:eastAsia="宋体" w:cs="宋体"/>
          <w:sz w:val="28"/>
          <w:szCs w:val="28"/>
          <w:highlight w:val="none"/>
          <w:lang w:val="en-IE"/>
        </w:rPr>
      </w:pPr>
    </w:p>
    <w:p>
      <w:pPr>
        <w:jc w:val="center"/>
        <w:rPr>
          <w:rFonts w:ascii="宋体" w:hAnsi="宋体" w:eastAsia="宋体" w:cs="宋体"/>
          <w:sz w:val="28"/>
          <w:szCs w:val="28"/>
          <w:highlight w:val="none"/>
          <w:lang w:val="en-IE"/>
        </w:rPr>
      </w:pPr>
    </w:p>
    <w:p>
      <w:pPr>
        <w:spacing w:line="720" w:lineRule="auto"/>
        <w:jc w:val="center"/>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cstheme="minorEastAsia"/>
          <w:b/>
          <w:bCs/>
          <w:sz w:val="32"/>
          <w:szCs w:val="32"/>
          <w:highlight w:val="none"/>
        </w:rPr>
        <w:t>采   购   人：</w:t>
      </w:r>
      <w:r>
        <w:rPr>
          <w:rFonts w:hint="eastAsia" w:asciiTheme="minorEastAsia" w:hAnsiTheme="minorEastAsia" w:cstheme="minorEastAsia"/>
          <w:b/>
          <w:bCs/>
          <w:sz w:val="32"/>
          <w:szCs w:val="32"/>
          <w:highlight w:val="none"/>
          <w:lang w:eastAsia="zh-CN"/>
        </w:rPr>
        <w:t>临朐沂山实业有限公司</w:t>
      </w:r>
    </w:p>
    <w:p>
      <w:pPr>
        <w:spacing w:line="720" w:lineRule="auto"/>
        <w:jc w:val="center"/>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cstheme="minorEastAsia"/>
          <w:b/>
          <w:bCs/>
          <w:sz w:val="32"/>
          <w:szCs w:val="32"/>
          <w:highlight w:val="none"/>
        </w:rPr>
        <w:t>采购代理机构：</w:t>
      </w:r>
      <w:r>
        <w:rPr>
          <w:rFonts w:hint="eastAsia" w:asciiTheme="minorEastAsia" w:hAnsiTheme="minorEastAsia" w:cstheme="minorEastAsia"/>
          <w:b/>
          <w:bCs/>
          <w:sz w:val="32"/>
          <w:szCs w:val="32"/>
          <w:highlight w:val="none"/>
          <w:lang w:eastAsia="zh-CN"/>
        </w:rPr>
        <w:t>天佑德建设咨询有限公司</w:t>
      </w:r>
    </w:p>
    <w:p>
      <w:pPr>
        <w:spacing w:line="720" w:lineRule="auto"/>
        <w:jc w:val="center"/>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202</w:t>
      </w:r>
      <w:r>
        <w:rPr>
          <w:rFonts w:hint="eastAsia" w:asciiTheme="minorEastAsia" w:hAnsiTheme="minorEastAsia" w:cstheme="minorEastAsia"/>
          <w:b/>
          <w:bCs/>
          <w:sz w:val="32"/>
          <w:szCs w:val="32"/>
          <w:highlight w:val="none"/>
          <w:lang w:val="en-US" w:eastAsia="zh-CN"/>
        </w:rPr>
        <w:t>4</w:t>
      </w:r>
      <w:r>
        <w:rPr>
          <w:rFonts w:hint="eastAsia" w:asciiTheme="minorEastAsia" w:hAnsiTheme="minorEastAsia" w:cstheme="minorEastAsia"/>
          <w:b/>
          <w:bCs/>
          <w:sz w:val="32"/>
          <w:szCs w:val="32"/>
          <w:highlight w:val="none"/>
        </w:rPr>
        <w:t>年</w:t>
      </w:r>
      <w:r>
        <w:rPr>
          <w:rFonts w:hint="eastAsia" w:asciiTheme="minorEastAsia" w:hAnsiTheme="minorEastAsia" w:cstheme="minorEastAsia"/>
          <w:b/>
          <w:bCs/>
          <w:sz w:val="32"/>
          <w:szCs w:val="32"/>
          <w:highlight w:val="none"/>
          <w:lang w:val="en-US" w:eastAsia="zh-CN"/>
        </w:rPr>
        <w:t>3</w:t>
      </w:r>
      <w:r>
        <w:rPr>
          <w:rFonts w:hint="eastAsia" w:asciiTheme="minorEastAsia" w:hAnsiTheme="minorEastAsia" w:cstheme="minorEastAsia"/>
          <w:b/>
          <w:bCs/>
          <w:sz w:val="32"/>
          <w:szCs w:val="32"/>
          <w:highlight w:val="none"/>
        </w:rPr>
        <w:t>月</w:t>
      </w:r>
    </w:p>
    <w:p>
      <w:pPr>
        <w:rPr>
          <w:rFonts w:ascii="宋体" w:hAnsi="宋体" w:eastAsia="宋体" w:cs="宋体"/>
          <w:sz w:val="28"/>
          <w:szCs w:val="28"/>
          <w:highlight w:val="none"/>
        </w:rPr>
      </w:pPr>
      <w:r>
        <w:rPr>
          <w:rFonts w:hint="eastAsia" w:ascii="宋体" w:hAnsi="宋体" w:eastAsia="宋体" w:cs="宋体"/>
          <w:sz w:val="28"/>
          <w:szCs w:val="28"/>
          <w:highlight w:val="none"/>
        </w:rPr>
        <w:br w:type="page"/>
      </w:r>
    </w:p>
    <w:sdt>
      <w:sdtPr>
        <w:rPr>
          <w:rFonts w:hint="eastAsia" w:asciiTheme="minorEastAsia" w:hAnsiTheme="minorEastAsia" w:cstheme="minorEastAsia"/>
          <w:sz w:val="32"/>
          <w:szCs w:val="32"/>
          <w:highlight w:val="none"/>
        </w:rPr>
        <w:id w:val="147477095"/>
      </w:sdtPr>
      <w:sdtEndPr>
        <w:rPr>
          <w:rFonts w:hint="eastAsia" w:asciiTheme="minorEastAsia" w:hAnsiTheme="minorEastAsia" w:cstheme="minorEastAsia"/>
          <w:sz w:val="21"/>
          <w:szCs w:val="24"/>
          <w:highlight w:val="none"/>
        </w:rPr>
      </w:sdtEndPr>
      <w:sdtContent>
        <w:p>
          <w:pPr>
            <w:spacing w:line="720" w:lineRule="auto"/>
            <w:jc w:val="center"/>
            <w:rPr>
              <w:rFonts w:hint="eastAsia" w:asciiTheme="minorEastAsia" w:hAnsiTheme="minorEastAsia" w:cstheme="minorEastAsia"/>
              <w:sz w:val="32"/>
              <w:szCs w:val="32"/>
              <w:highlight w:val="none"/>
            </w:rPr>
          </w:pPr>
        </w:p>
        <w:p>
          <w:pPr>
            <w:spacing w:line="720" w:lineRule="auto"/>
            <w:jc w:val="center"/>
            <w:rPr>
              <w:rFonts w:hint="eastAsia" w:asciiTheme="minorEastAsia" w:hAnsiTheme="minorEastAsia" w:cstheme="minorEastAsia"/>
              <w:sz w:val="32"/>
              <w:szCs w:val="32"/>
              <w:highlight w:val="none"/>
            </w:rPr>
          </w:pPr>
        </w:p>
        <w:p>
          <w:pPr>
            <w:spacing w:line="720" w:lineRule="auto"/>
            <w:jc w:val="center"/>
            <w:rPr>
              <w:rFonts w:hint="eastAsia" w:asciiTheme="minorEastAsia" w:hAnsiTheme="minorEastAsia" w:cstheme="minorEastAsia"/>
              <w:sz w:val="32"/>
              <w:szCs w:val="32"/>
              <w:highlight w:val="none"/>
            </w:rPr>
          </w:pPr>
        </w:p>
        <w:p>
          <w:pPr>
            <w:spacing w:line="720" w:lineRule="auto"/>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目  录</w:t>
          </w:r>
        </w:p>
        <w:p>
          <w:pPr>
            <w:pStyle w:val="15"/>
            <w:tabs>
              <w:tab w:val="right" w:leader="dot" w:pos="9094"/>
            </w:tabs>
            <w:spacing w:line="72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"1-3"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_Toc7323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第一章 竞争性磋商公告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_Toc7323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094"/>
            </w:tabs>
            <w:spacing w:line="72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_Toc27630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章 磋商须知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_Toc27630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094"/>
            </w:tabs>
            <w:spacing w:line="72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_Toc10631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 采购项目内容及要求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_Toc10631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094"/>
            </w:tabs>
            <w:spacing w:line="72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_Toc1040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章 合同主要条款</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_Toc1040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094"/>
            </w:tabs>
            <w:spacing w:line="720" w:lineRule="auto"/>
            <w:ind w:firstLine="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_Toc9661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章 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8</w:t>
          </w:r>
        </w:p>
        <w:p>
          <w:pPr>
            <w:pStyle w:val="15"/>
            <w:tabs>
              <w:tab w:val="right" w:leader="dot" w:pos="9094"/>
            </w:tabs>
            <w:spacing w:line="720" w:lineRule="auto"/>
            <w:ind w:firstLine="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_Toc971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章 评审办法</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9</w:t>
          </w:r>
        </w:p>
        <w:p>
          <w:pPr>
            <w:bidi w:val="0"/>
            <w:rPr>
              <w:highlight w:val="none"/>
            </w:rPr>
          </w:pPr>
          <w:r>
            <w:rPr>
              <w:rFonts w:hint="eastAsia" w:ascii="宋体" w:hAnsi="宋体" w:eastAsia="宋体" w:cs="宋体"/>
              <w:sz w:val="28"/>
              <w:szCs w:val="28"/>
              <w:highlight w:val="none"/>
            </w:rPr>
            <w:fldChar w:fldCharType="end"/>
          </w:r>
        </w:p>
      </w:sdtContent>
    </w:sdt>
    <w:p>
      <w:pPr>
        <w:tabs>
          <w:tab w:val="right" w:pos="9071"/>
        </w:tabs>
        <w:bidi w:val="0"/>
        <w:jc w:val="left"/>
        <w:rPr>
          <w:rFonts w:hint="eastAsia" w:eastAsiaTheme="minorEastAsia"/>
          <w:highlight w:val="none"/>
          <w:lang w:eastAsia="zh-CN"/>
        </w:rPr>
        <w:sectPr>
          <w:pgSz w:w="11906" w:h="16838"/>
          <w:pgMar w:top="1134" w:right="1361" w:bottom="1134" w:left="1474" w:header="851" w:footer="992" w:gutter="0"/>
          <w:cols w:space="425" w:num="1"/>
          <w:docGrid w:type="lines" w:linePitch="312" w:charSpace="0"/>
        </w:sectPr>
      </w:pPr>
      <w:r>
        <w:rPr>
          <w:rFonts w:hint="eastAsia"/>
          <w:highlight w:val="none"/>
          <w:lang w:eastAsia="zh-CN"/>
        </w:rPr>
        <w:tab/>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sz w:val="32"/>
          <w:szCs w:val="32"/>
          <w:highlight w:val="none"/>
          <w:lang w:val="en-US" w:eastAsia="zh-CN"/>
        </w:rPr>
      </w:pPr>
      <w:bookmarkStart w:id="0" w:name="_Toc7323"/>
      <w:bookmarkStart w:id="1" w:name="_Toc23573"/>
      <w:bookmarkStart w:id="2" w:name="_Toc10292"/>
      <w:r>
        <w:rPr>
          <w:rFonts w:hint="eastAsia" w:asciiTheme="majorEastAsia" w:hAnsiTheme="majorEastAsia" w:eastAsiaTheme="majorEastAsia" w:cstheme="majorEastAsia"/>
          <w:sz w:val="32"/>
          <w:szCs w:val="32"/>
          <w:highlight w:val="none"/>
          <w:lang w:val="en-US" w:eastAsia="zh-CN"/>
        </w:rPr>
        <w:t>第一章 竞争性磋商公告</w:t>
      </w:r>
      <w:bookmarkEnd w:id="0"/>
    </w:p>
    <w:p>
      <w:pPr>
        <w:widowControl/>
        <w:adjustRightInd w:val="0"/>
        <w:jc w:val="center"/>
        <w:rPr>
          <w:rFonts w:ascii="宋体" w:hAnsi="宋体" w:eastAsia="宋体" w:cs="宋体"/>
          <w:b/>
          <w:sz w:val="28"/>
          <w:szCs w:val="22"/>
          <w:highlight w:val="none"/>
        </w:rPr>
      </w:pPr>
      <w:r>
        <w:rPr>
          <w:rFonts w:hint="eastAsia" w:ascii="宋体" w:hAnsi="宋体" w:eastAsia="宋体" w:cs="宋体"/>
          <w:b/>
          <w:sz w:val="28"/>
          <w:szCs w:val="22"/>
          <w:highlight w:val="none"/>
          <w:lang w:eastAsia="zh-CN"/>
        </w:rPr>
        <w:t>营龙片区、南环片区、弥河片区一期棚户区改造项目外墙传热系数检测</w:t>
      </w:r>
      <w:r>
        <w:rPr>
          <w:rFonts w:hint="eastAsia" w:ascii="宋体" w:hAnsi="宋体" w:eastAsia="宋体" w:cs="宋体"/>
          <w:b/>
          <w:sz w:val="28"/>
          <w:szCs w:val="22"/>
          <w:highlight w:val="none"/>
        </w:rPr>
        <w:t>竞争性磋商公告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highlight w:val="none"/>
          <w:lang w:eastAsia="zh-CN"/>
        </w:rPr>
      </w:pPr>
      <w:r>
        <w:rPr>
          <w:rFonts w:hint="eastAsia" w:asciiTheme="minorEastAsia" w:hAnsiTheme="minorEastAsia" w:cstheme="minorEastAsia"/>
          <w:color w:val="auto"/>
          <w:sz w:val="24"/>
          <w:szCs w:val="32"/>
          <w:highlight w:val="none"/>
        </w:rPr>
        <w:t>项目名称：</w:t>
      </w:r>
      <w:r>
        <w:rPr>
          <w:rFonts w:hint="eastAsia" w:asciiTheme="minorEastAsia" w:hAnsiTheme="minorEastAsia" w:cstheme="minorEastAsia"/>
          <w:color w:val="auto"/>
          <w:sz w:val="24"/>
          <w:szCs w:val="32"/>
          <w:highlight w:val="none"/>
          <w:lang w:eastAsia="zh-CN"/>
        </w:rPr>
        <w:t>营龙片区、南环片区、弥河片区一期棚户区改造项目外墙传热系数检测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cstheme="minorEastAsia"/>
          <w:color w:val="auto"/>
          <w:sz w:val="24"/>
          <w:szCs w:val="32"/>
          <w:highlight w:val="none"/>
        </w:rPr>
        <w:t>二、项目编号：CT-2024-</w:t>
      </w:r>
      <w:r>
        <w:rPr>
          <w:rFonts w:hint="eastAsia" w:asciiTheme="minorEastAsia" w:hAnsiTheme="minorEastAsia" w:cstheme="minorEastAsia"/>
          <w:color w:val="auto"/>
          <w:sz w:val="24"/>
          <w:szCs w:val="32"/>
          <w:highlight w:val="none"/>
          <w:lang w:eastAsia="zh-CN"/>
        </w:rPr>
        <w:t>004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三、</w:t>
      </w:r>
      <w:r>
        <w:rPr>
          <w:rFonts w:hint="eastAsia" w:asciiTheme="minorEastAsia" w:hAnsiTheme="minorEastAsia" w:cstheme="minorEastAsia"/>
          <w:color w:val="auto"/>
          <w:sz w:val="24"/>
          <w:szCs w:val="32"/>
          <w:highlight w:val="none"/>
          <w:lang w:val="en-US" w:eastAsia="zh-CN"/>
        </w:rPr>
        <w:t>采购</w:t>
      </w:r>
      <w:r>
        <w:rPr>
          <w:rFonts w:hint="eastAsia" w:asciiTheme="minorEastAsia" w:hAnsiTheme="minorEastAsia" w:cstheme="minorEastAsia"/>
          <w:color w:val="auto"/>
          <w:sz w:val="24"/>
          <w:szCs w:val="32"/>
          <w:highlight w:val="none"/>
        </w:rPr>
        <w:t>内容及</w:t>
      </w:r>
      <w:r>
        <w:rPr>
          <w:rFonts w:hint="eastAsia" w:asciiTheme="minorEastAsia" w:hAnsiTheme="minorEastAsia" w:cstheme="minorEastAsia"/>
          <w:color w:val="auto"/>
          <w:sz w:val="24"/>
          <w:szCs w:val="32"/>
          <w:highlight w:val="none"/>
          <w:lang w:val="en-US" w:eastAsia="zh-CN"/>
        </w:rPr>
        <w:t>供应商</w:t>
      </w:r>
      <w:r>
        <w:rPr>
          <w:rFonts w:hint="eastAsia" w:asciiTheme="minorEastAsia" w:hAnsiTheme="minorEastAsia" w:cstheme="minorEastAsia"/>
          <w:color w:val="auto"/>
          <w:sz w:val="24"/>
          <w:szCs w:val="32"/>
          <w:highlight w:val="none"/>
        </w:rPr>
        <w:t>资格要求：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560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bidi="ar"/>
              </w:rPr>
              <w:t>内容</w:t>
            </w:r>
          </w:p>
        </w:tc>
        <w:tc>
          <w:tcPr>
            <w:tcW w:w="30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lang w:val="en-US" w:eastAsia="zh-CN" w:bidi="ar"/>
              </w:rPr>
              <w:t>供应商</w:t>
            </w:r>
            <w:r>
              <w:rPr>
                <w:rFonts w:hint="eastAsia" w:asciiTheme="minorEastAsia" w:hAnsiTheme="minorEastAsia" w:eastAsiaTheme="minorEastAsia" w:cstheme="minorEastAsia"/>
                <w:color w:val="auto"/>
                <w:kern w:val="0"/>
                <w:sz w:val="21"/>
                <w:szCs w:val="21"/>
                <w:highlight w:val="none"/>
                <w:lang w:bidi="ar"/>
              </w:rPr>
              <w:t>资格要求</w:t>
            </w:r>
          </w:p>
        </w:tc>
        <w:tc>
          <w:tcPr>
            <w:tcW w:w="75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val="en-US" w:eastAsia="zh-CN" w:bidi="ar"/>
              </w:rPr>
              <w:t>预算价格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营龙片区、南环片区、弥河片区一期棚户区改造项目外墙传热系数检测</w:t>
            </w:r>
          </w:p>
        </w:tc>
        <w:tc>
          <w:tcPr>
            <w:tcW w:w="30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1、具有建设主管部门颁发的有效的建设工程质量检测机构资质证书；</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、本项目不接受联合体投标。</w:t>
            </w:r>
          </w:p>
        </w:tc>
        <w:tc>
          <w:tcPr>
            <w:tcW w:w="75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420000元</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四、获取</w:t>
      </w:r>
      <w:r>
        <w:rPr>
          <w:rFonts w:hint="eastAsia" w:asciiTheme="minorEastAsia" w:hAnsiTheme="minorEastAsia" w:cstheme="minorEastAsia"/>
          <w:color w:val="auto"/>
          <w:sz w:val="24"/>
          <w:szCs w:val="32"/>
          <w:highlight w:val="none"/>
          <w:lang w:eastAsia="zh-CN"/>
        </w:rPr>
        <w:t>磋商文件</w:t>
      </w:r>
      <w:r>
        <w:rPr>
          <w:rFonts w:hint="eastAsia" w:asciiTheme="minorEastAsia" w:hAnsiTheme="minorEastAsia" w:cstheme="minorEastAsia"/>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1、获取</w:t>
      </w:r>
      <w:r>
        <w:rPr>
          <w:rFonts w:hint="eastAsia" w:asciiTheme="minorEastAsia" w:hAnsiTheme="minorEastAsia" w:cstheme="minorEastAsia"/>
          <w:color w:val="auto"/>
          <w:sz w:val="24"/>
          <w:szCs w:val="32"/>
          <w:highlight w:val="none"/>
          <w:lang w:eastAsia="zh-CN"/>
        </w:rPr>
        <w:t>磋商文件</w:t>
      </w:r>
      <w:r>
        <w:rPr>
          <w:rFonts w:hint="eastAsia" w:asciiTheme="minorEastAsia" w:hAnsiTheme="minorEastAsia" w:cstheme="minorEastAsia"/>
          <w:color w:val="auto"/>
          <w:sz w:val="24"/>
          <w:szCs w:val="32"/>
          <w:highlight w:val="none"/>
        </w:rPr>
        <w:t>时间：20</w:t>
      </w:r>
      <w:r>
        <w:rPr>
          <w:rFonts w:hint="eastAsia" w:asciiTheme="minorEastAsia" w:hAnsiTheme="minorEastAsia" w:cstheme="minorEastAsia"/>
          <w:color w:val="auto"/>
          <w:sz w:val="24"/>
          <w:szCs w:val="32"/>
          <w:highlight w:val="none"/>
          <w:lang w:val="en-US" w:eastAsia="zh-CN"/>
        </w:rPr>
        <w:t>24</w:t>
      </w:r>
      <w:r>
        <w:rPr>
          <w:rFonts w:hint="eastAsia" w:asciiTheme="minorEastAsia" w:hAnsiTheme="minorEastAsia" w:cstheme="minorEastAsia"/>
          <w:color w:val="auto"/>
          <w:sz w:val="24"/>
          <w:szCs w:val="32"/>
          <w:highlight w:val="none"/>
        </w:rPr>
        <w:t>年</w:t>
      </w:r>
      <w:r>
        <w:rPr>
          <w:rFonts w:hint="eastAsia" w:asciiTheme="minorEastAsia" w:hAnsiTheme="minorEastAsia" w:cstheme="minorEastAsia"/>
          <w:color w:val="auto"/>
          <w:sz w:val="24"/>
          <w:szCs w:val="32"/>
          <w:highlight w:val="none"/>
          <w:lang w:val="en-US" w:eastAsia="zh-CN"/>
        </w:rPr>
        <w:t>3</w:t>
      </w:r>
      <w:r>
        <w:rPr>
          <w:rFonts w:hint="eastAsia" w:asciiTheme="minorEastAsia" w:hAnsiTheme="minorEastAsia" w:cstheme="minorEastAsia"/>
          <w:color w:val="auto"/>
          <w:sz w:val="24"/>
          <w:szCs w:val="32"/>
          <w:highlight w:val="none"/>
        </w:rPr>
        <w:t>月</w:t>
      </w:r>
      <w:r>
        <w:rPr>
          <w:rFonts w:hint="eastAsia" w:asciiTheme="minorEastAsia" w:hAnsiTheme="minorEastAsia" w:cstheme="minorEastAsia"/>
          <w:color w:val="auto"/>
          <w:sz w:val="24"/>
          <w:szCs w:val="32"/>
          <w:highlight w:val="none"/>
          <w:lang w:val="en-US" w:eastAsia="zh-CN"/>
        </w:rPr>
        <w:t>21</w:t>
      </w:r>
      <w:r>
        <w:rPr>
          <w:rFonts w:hint="eastAsia" w:asciiTheme="minorEastAsia" w:hAnsiTheme="minorEastAsia" w:cstheme="minorEastAsia"/>
          <w:color w:val="auto"/>
          <w:sz w:val="24"/>
          <w:szCs w:val="32"/>
          <w:highlight w:val="none"/>
        </w:rPr>
        <w:t>日至20</w:t>
      </w:r>
      <w:r>
        <w:rPr>
          <w:rFonts w:hint="eastAsia" w:asciiTheme="minorEastAsia" w:hAnsiTheme="minorEastAsia" w:cstheme="minorEastAsia"/>
          <w:color w:val="auto"/>
          <w:sz w:val="24"/>
          <w:szCs w:val="32"/>
          <w:highlight w:val="none"/>
          <w:lang w:val="en-US" w:eastAsia="zh-CN"/>
        </w:rPr>
        <w:t>24</w:t>
      </w:r>
      <w:r>
        <w:rPr>
          <w:rFonts w:hint="eastAsia" w:asciiTheme="minorEastAsia" w:hAnsiTheme="minorEastAsia" w:cstheme="minorEastAsia"/>
          <w:color w:val="auto"/>
          <w:sz w:val="24"/>
          <w:szCs w:val="32"/>
          <w:highlight w:val="none"/>
        </w:rPr>
        <w:t>年</w:t>
      </w:r>
      <w:r>
        <w:rPr>
          <w:rFonts w:hint="eastAsia" w:asciiTheme="minorEastAsia" w:hAnsiTheme="minorEastAsia" w:cstheme="minorEastAsia"/>
          <w:color w:val="auto"/>
          <w:sz w:val="24"/>
          <w:szCs w:val="32"/>
          <w:highlight w:val="none"/>
          <w:lang w:val="en-US" w:eastAsia="zh-CN"/>
        </w:rPr>
        <w:t>4月2日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color w:val="auto"/>
          <w:sz w:val="24"/>
          <w:szCs w:val="32"/>
          <w:highlight w:val="none"/>
          <w:lang w:val="en-US" w:eastAsia="zh-CN"/>
        </w:rPr>
      </w:pPr>
      <w:r>
        <w:rPr>
          <w:rFonts w:hint="eastAsia" w:asciiTheme="minorEastAsia" w:hAnsiTheme="minorEastAsia" w:cstheme="minorEastAsia"/>
          <w:color w:val="auto"/>
          <w:sz w:val="24"/>
          <w:szCs w:val="32"/>
          <w:highlight w:val="none"/>
        </w:rPr>
        <w:t>2、获取方式：临朐城投招标采购平台（http://www.ctcaigou.com/）</w:t>
      </w:r>
      <w:r>
        <w:rPr>
          <w:rFonts w:hint="eastAsia" w:asciiTheme="minorEastAsia" w:hAnsiTheme="minorEastAsia" w:cstheme="minorEastAsia"/>
          <w:color w:val="auto"/>
          <w:sz w:val="24"/>
          <w:szCs w:val="32"/>
          <w:highlight w:val="none"/>
          <w:lang w:eastAsia="zh-CN"/>
        </w:rPr>
        <w:t>，</w:t>
      </w:r>
      <w:r>
        <w:rPr>
          <w:rFonts w:hint="eastAsia" w:asciiTheme="minorEastAsia" w:hAnsiTheme="minorEastAsia" w:cstheme="minorEastAsia"/>
          <w:color w:val="auto"/>
          <w:sz w:val="24"/>
          <w:szCs w:val="32"/>
          <w:highlight w:val="none"/>
          <w:lang w:val="en-US" w:eastAsia="zh-CN"/>
        </w:rPr>
        <w:t>网上获取。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五、递交</w:t>
      </w:r>
      <w:r>
        <w:rPr>
          <w:rFonts w:hint="eastAsia" w:asciiTheme="minorEastAsia" w:hAnsiTheme="minorEastAsia" w:cstheme="minorEastAsia"/>
          <w:color w:val="auto"/>
          <w:sz w:val="24"/>
          <w:szCs w:val="32"/>
          <w:highlight w:val="none"/>
          <w:lang w:val="en-US" w:eastAsia="zh-CN"/>
        </w:rPr>
        <w:t>响应</w:t>
      </w:r>
      <w:r>
        <w:rPr>
          <w:rFonts w:hint="eastAsia" w:asciiTheme="minorEastAsia" w:hAnsiTheme="minorEastAsia" w:cstheme="minorEastAsia"/>
          <w:color w:val="auto"/>
          <w:sz w:val="24"/>
          <w:szCs w:val="32"/>
          <w:highlight w:val="none"/>
        </w:rPr>
        <w:t>文件时间及地点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cstheme="minorEastAsia"/>
          <w:color w:val="auto"/>
          <w:sz w:val="24"/>
          <w:szCs w:val="32"/>
          <w:highlight w:val="none"/>
        </w:rPr>
        <w:t>1、时间：202</w:t>
      </w:r>
      <w:r>
        <w:rPr>
          <w:rFonts w:hint="eastAsia" w:asciiTheme="minorEastAsia" w:hAnsiTheme="minorEastAsia" w:cstheme="minorEastAsia"/>
          <w:color w:val="auto"/>
          <w:sz w:val="24"/>
          <w:szCs w:val="32"/>
          <w:highlight w:val="none"/>
          <w:lang w:val="en-US" w:eastAsia="zh-CN"/>
        </w:rPr>
        <w:t>4</w:t>
      </w:r>
      <w:r>
        <w:rPr>
          <w:rFonts w:hint="eastAsia" w:asciiTheme="minorEastAsia" w:hAnsiTheme="minorEastAsia" w:cstheme="minorEastAsia"/>
          <w:color w:val="auto"/>
          <w:sz w:val="24"/>
          <w:szCs w:val="32"/>
          <w:highlight w:val="none"/>
        </w:rPr>
        <w:t>年</w:t>
      </w:r>
      <w:r>
        <w:rPr>
          <w:rFonts w:hint="eastAsia" w:asciiTheme="minorEastAsia" w:hAnsiTheme="minorEastAsia" w:cstheme="minorEastAsia"/>
          <w:color w:val="auto"/>
          <w:sz w:val="24"/>
          <w:szCs w:val="32"/>
          <w:highlight w:val="none"/>
          <w:lang w:val="en-US" w:eastAsia="zh-CN"/>
        </w:rPr>
        <w:t>4</w:t>
      </w:r>
      <w:r>
        <w:rPr>
          <w:rFonts w:hint="eastAsia" w:asciiTheme="minorEastAsia" w:hAnsiTheme="minorEastAsia" w:cstheme="minorEastAsia"/>
          <w:color w:val="auto"/>
          <w:sz w:val="24"/>
          <w:szCs w:val="32"/>
          <w:highlight w:val="none"/>
        </w:rPr>
        <w:t>月</w:t>
      </w:r>
      <w:r>
        <w:rPr>
          <w:rFonts w:hint="eastAsia" w:asciiTheme="minorEastAsia" w:hAnsiTheme="minorEastAsia" w:cstheme="minorEastAsia"/>
          <w:color w:val="auto"/>
          <w:sz w:val="24"/>
          <w:szCs w:val="32"/>
          <w:highlight w:val="none"/>
          <w:lang w:val="en-US" w:eastAsia="zh-CN"/>
        </w:rPr>
        <w:t>2</w:t>
      </w:r>
      <w:r>
        <w:rPr>
          <w:rFonts w:hint="eastAsia" w:asciiTheme="minorEastAsia" w:hAnsiTheme="minorEastAsia" w:cstheme="minorEastAsia"/>
          <w:color w:val="auto"/>
          <w:sz w:val="24"/>
          <w:szCs w:val="32"/>
          <w:highlight w:val="none"/>
        </w:rPr>
        <w:t>日</w:t>
      </w:r>
      <w:r>
        <w:rPr>
          <w:rFonts w:hint="eastAsia" w:asciiTheme="minorEastAsia" w:hAnsiTheme="minorEastAsia" w:cstheme="minorEastAsia"/>
          <w:color w:val="auto"/>
          <w:sz w:val="24"/>
          <w:szCs w:val="32"/>
          <w:highlight w:val="none"/>
          <w:lang w:val="en-US" w:eastAsia="zh-CN"/>
        </w:rPr>
        <w:t>09</w:t>
      </w:r>
      <w:r>
        <w:rPr>
          <w:rFonts w:hint="eastAsia" w:asciiTheme="minorEastAsia" w:hAnsiTheme="minorEastAsia" w:cstheme="minorEastAsia"/>
          <w:color w:val="auto"/>
          <w:sz w:val="24"/>
          <w:szCs w:val="32"/>
          <w:highlight w:val="none"/>
        </w:rPr>
        <w:t>时30分（北京时间）</w:t>
      </w:r>
      <w:r>
        <w:rPr>
          <w:rFonts w:hint="eastAsia" w:asciiTheme="minorEastAsia" w:hAnsiTheme="minorEastAsia" w:cstheme="minorEastAsia"/>
          <w:color w:val="auto"/>
          <w:sz w:val="2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cstheme="minorEastAsia"/>
          <w:color w:val="auto"/>
          <w:sz w:val="24"/>
          <w:szCs w:val="32"/>
          <w:highlight w:val="none"/>
        </w:rPr>
        <w:t>2、地点：临朐县城投二楼会议室</w:t>
      </w:r>
      <w:r>
        <w:rPr>
          <w:rFonts w:hint="eastAsia" w:asciiTheme="minorEastAsia" w:hAnsiTheme="minorEastAsia" w:cstheme="minorEastAsia"/>
          <w:color w:val="auto"/>
          <w:sz w:val="2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六、</w:t>
      </w:r>
      <w:r>
        <w:rPr>
          <w:rFonts w:hint="eastAsia" w:asciiTheme="minorEastAsia" w:hAnsiTheme="minorEastAsia" w:cstheme="minorEastAsia"/>
          <w:color w:val="auto"/>
          <w:sz w:val="24"/>
          <w:szCs w:val="32"/>
          <w:highlight w:val="none"/>
          <w:lang w:val="en-US" w:eastAsia="zh-CN"/>
        </w:rPr>
        <w:t>磋商</w:t>
      </w:r>
      <w:r>
        <w:rPr>
          <w:rFonts w:hint="eastAsia" w:asciiTheme="minorEastAsia" w:hAnsiTheme="minorEastAsia" w:cstheme="minorEastAsia"/>
          <w:color w:val="auto"/>
          <w:sz w:val="24"/>
          <w:szCs w:val="32"/>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1、时间：2024年</w:t>
      </w:r>
      <w:r>
        <w:rPr>
          <w:rFonts w:hint="eastAsia" w:asciiTheme="minorEastAsia" w:hAnsiTheme="minorEastAsia" w:cstheme="minorEastAsia"/>
          <w:color w:val="auto"/>
          <w:sz w:val="24"/>
          <w:szCs w:val="32"/>
          <w:highlight w:val="none"/>
          <w:lang w:val="en-US" w:eastAsia="zh-CN"/>
        </w:rPr>
        <w:t>4</w:t>
      </w:r>
      <w:r>
        <w:rPr>
          <w:rFonts w:hint="eastAsia" w:asciiTheme="minorEastAsia" w:hAnsiTheme="minorEastAsia" w:cstheme="minorEastAsia"/>
          <w:color w:val="auto"/>
          <w:sz w:val="24"/>
          <w:szCs w:val="32"/>
          <w:highlight w:val="none"/>
        </w:rPr>
        <w:t>月</w:t>
      </w:r>
      <w:r>
        <w:rPr>
          <w:rFonts w:hint="eastAsia" w:asciiTheme="minorEastAsia" w:hAnsiTheme="minorEastAsia" w:cstheme="minorEastAsia"/>
          <w:color w:val="auto"/>
          <w:sz w:val="24"/>
          <w:szCs w:val="32"/>
          <w:highlight w:val="none"/>
          <w:lang w:val="en-US" w:eastAsia="zh-CN"/>
        </w:rPr>
        <w:t>2</w:t>
      </w:r>
      <w:r>
        <w:rPr>
          <w:rFonts w:hint="eastAsia" w:asciiTheme="minorEastAsia" w:hAnsiTheme="minorEastAsia" w:cstheme="minorEastAsia"/>
          <w:color w:val="auto"/>
          <w:sz w:val="24"/>
          <w:szCs w:val="32"/>
          <w:highlight w:val="none"/>
        </w:rPr>
        <w:t>日</w:t>
      </w:r>
      <w:r>
        <w:rPr>
          <w:rFonts w:hint="eastAsia" w:asciiTheme="minorEastAsia" w:hAnsiTheme="minorEastAsia" w:cstheme="minorEastAsia"/>
          <w:color w:val="auto"/>
          <w:sz w:val="24"/>
          <w:szCs w:val="32"/>
          <w:highlight w:val="none"/>
          <w:lang w:val="en-US" w:eastAsia="zh-CN"/>
        </w:rPr>
        <w:t>09</w:t>
      </w:r>
      <w:r>
        <w:rPr>
          <w:rFonts w:hint="eastAsia" w:asciiTheme="minorEastAsia" w:hAnsiTheme="minorEastAsia" w:cstheme="minorEastAsia"/>
          <w:color w:val="auto"/>
          <w:sz w:val="24"/>
          <w:szCs w:val="32"/>
          <w:highlight w:val="none"/>
        </w:rPr>
        <w:t>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2、地点：临朐县城投二楼会议室。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七、联系方式</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1、</w:t>
      </w:r>
      <w:r>
        <w:rPr>
          <w:rFonts w:hint="eastAsia" w:asciiTheme="minorEastAsia" w:hAnsiTheme="minorEastAsia" w:cstheme="minorEastAsia"/>
          <w:color w:val="auto"/>
          <w:sz w:val="24"/>
          <w:szCs w:val="32"/>
          <w:highlight w:val="none"/>
          <w:lang w:val="en-US" w:eastAsia="zh-CN"/>
        </w:rPr>
        <w:t>采购</w:t>
      </w:r>
      <w:r>
        <w:rPr>
          <w:rFonts w:hint="eastAsia" w:asciiTheme="minorEastAsia" w:hAnsiTheme="minorEastAsia" w:cstheme="minorEastAsia"/>
          <w:color w:val="auto"/>
          <w:sz w:val="24"/>
          <w:szCs w:val="32"/>
          <w:highlight w:val="none"/>
        </w:rPr>
        <w:t>人：临朐沂山实业有限公司</w:t>
      </w:r>
    </w:p>
    <w:p>
      <w:pPr>
        <w:keepNext w:val="0"/>
        <w:keepLines w:val="0"/>
        <w:pageBreakBefore w:val="0"/>
        <w:widowControl w:val="0"/>
        <w:kinsoku/>
        <w:wordWrap w:val="0"/>
        <w:overflowPunct/>
        <w:topLinePunct/>
        <w:autoSpaceDE/>
        <w:autoSpaceDN/>
        <w:bidi w:val="0"/>
        <w:adjustRightInd/>
        <w:snapToGrid/>
        <w:spacing w:line="360" w:lineRule="auto"/>
        <w:ind w:firstLine="960" w:firstLineChars="400"/>
        <w:jc w:val="left"/>
        <w:textAlignment w:val="auto"/>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cstheme="minorEastAsia"/>
          <w:color w:val="auto"/>
          <w:sz w:val="24"/>
          <w:szCs w:val="32"/>
          <w:highlight w:val="none"/>
        </w:rPr>
        <w:t>地址：临朐县城龙泉路60号</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cstheme="minorEastAsia"/>
          <w:color w:val="auto"/>
          <w:sz w:val="24"/>
          <w:szCs w:val="32"/>
          <w:highlight w:val="none"/>
        </w:rPr>
        <w:t>2、</w:t>
      </w:r>
      <w:r>
        <w:rPr>
          <w:rFonts w:hint="eastAsia" w:asciiTheme="minorEastAsia" w:hAnsiTheme="minorEastAsia" w:cstheme="minorEastAsia"/>
          <w:color w:val="auto"/>
          <w:sz w:val="24"/>
          <w:szCs w:val="32"/>
          <w:highlight w:val="none"/>
          <w:lang w:val="en-US" w:eastAsia="zh-CN"/>
        </w:rPr>
        <w:t>采购</w:t>
      </w:r>
      <w:r>
        <w:rPr>
          <w:rFonts w:hint="eastAsia" w:asciiTheme="minorEastAsia" w:hAnsiTheme="minorEastAsia" w:cstheme="minorEastAsia"/>
          <w:color w:val="auto"/>
          <w:sz w:val="24"/>
          <w:szCs w:val="32"/>
          <w:highlight w:val="none"/>
        </w:rPr>
        <w:t>代理机构：</w:t>
      </w:r>
      <w:r>
        <w:rPr>
          <w:rFonts w:hint="eastAsia" w:asciiTheme="minorEastAsia" w:hAnsiTheme="minorEastAsia" w:cstheme="minorEastAsia"/>
          <w:color w:val="auto"/>
          <w:sz w:val="24"/>
          <w:szCs w:val="32"/>
          <w:highlight w:val="none"/>
          <w:lang w:eastAsia="zh-CN"/>
        </w:rPr>
        <w:t>天佑德建设咨询有限公司</w:t>
      </w:r>
    </w:p>
    <w:p>
      <w:pPr>
        <w:keepNext w:val="0"/>
        <w:keepLines w:val="0"/>
        <w:pageBreakBefore w:val="0"/>
        <w:widowControl w:val="0"/>
        <w:kinsoku/>
        <w:wordWrap w:val="0"/>
        <w:overflowPunct/>
        <w:topLinePunct/>
        <w:autoSpaceDE/>
        <w:autoSpaceDN/>
        <w:bidi w:val="0"/>
        <w:adjustRightInd/>
        <w:snapToGrid/>
        <w:spacing w:line="360" w:lineRule="auto"/>
        <w:ind w:firstLine="960" w:firstLineChars="400"/>
        <w:jc w:val="lef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地址：</w:t>
      </w:r>
      <w:r>
        <w:rPr>
          <w:rFonts w:hint="eastAsia" w:asciiTheme="minorEastAsia" w:hAnsiTheme="minorEastAsia" w:cstheme="minorEastAsia"/>
          <w:color w:val="auto"/>
          <w:sz w:val="24"/>
          <w:szCs w:val="32"/>
          <w:highlight w:val="none"/>
          <w:lang w:eastAsia="zh-CN"/>
        </w:rPr>
        <w:t>潍坊市樱前街瑞泰南郡</w:t>
      </w:r>
      <w:r>
        <w:rPr>
          <w:rFonts w:hint="eastAsia" w:asciiTheme="minorEastAsia" w:hAnsiTheme="minorEastAsia" w:cstheme="minorEastAsia"/>
          <w:color w:val="auto"/>
          <w:sz w:val="24"/>
          <w:szCs w:val="32"/>
          <w:highlight w:val="none"/>
          <w:lang w:val="en-US" w:eastAsia="zh-CN"/>
        </w:rPr>
        <w:t>A座六楼</w:t>
      </w:r>
    </w:p>
    <w:p>
      <w:pPr>
        <w:keepNext w:val="0"/>
        <w:keepLines w:val="0"/>
        <w:pageBreakBefore w:val="0"/>
        <w:widowControl w:val="0"/>
        <w:kinsoku/>
        <w:wordWrap w:val="0"/>
        <w:overflowPunct/>
        <w:topLinePunct/>
        <w:autoSpaceDE/>
        <w:autoSpaceDN/>
        <w:bidi w:val="0"/>
        <w:adjustRightInd/>
        <w:snapToGrid/>
        <w:spacing w:line="360" w:lineRule="auto"/>
        <w:ind w:firstLine="960" w:firstLineChars="400"/>
        <w:jc w:val="left"/>
        <w:textAlignment w:val="auto"/>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cstheme="minorEastAsia"/>
          <w:color w:val="auto"/>
          <w:sz w:val="24"/>
          <w:szCs w:val="32"/>
          <w:highlight w:val="none"/>
        </w:rPr>
        <w:t>联系人：</w:t>
      </w:r>
      <w:r>
        <w:rPr>
          <w:rFonts w:hint="eastAsia" w:asciiTheme="minorEastAsia" w:hAnsiTheme="minorEastAsia" w:cstheme="minorEastAsia"/>
          <w:color w:val="auto"/>
          <w:sz w:val="24"/>
          <w:szCs w:val="32"/>
          <w:highlight w:val="none"/>
          <w:lang w:eastAsia="zh-CN"/>
        </w:rPr>
        <w:t>张磊</w:t>
      </w:r>
    </w:p>
    <w:p>
      <w:pPr>
        <w:keepNext w:val="0"/>
        <w:keepLines w:val="0"/>
        <w:pageBreakBefore w:val="0"/>
        <w:widowControl w:val="0"/>
        <w:kinsoku/>
        <w:wordWrap w:val="0"/>
        <w:overflowPunct/>
        <w:topLinePunct/>
        <w:autoSpaceDE/>
        <w:autoSpaceDN/>
        <w:bidi w:val="0"/>
        <w:adjustRightInd/>
        <w:snapToGrid/>
        <w:spacing w:line="360" w:lineRule="auto"/>
        <w:ind w:firstLine="960" w:firstLineChars="400"/>
        <w:jc w:val="left"/>
        <w:textAlignment w:val="auto"/>
        <w:rPr>
          <w:rFonts w:hint="default" w:asciiTheme="minorEastAsia" w:hAnsiTheme="minorEastAsia" w:cstheme="minorEastAsia"/>
          <w:color w:val="auto"/>
          <w:sz w:val="24"/>
          <w:szCs w:val="32"/>
          <w:highlight w:val="none"/>
          <w:lang w:val="en-US" w:eastAsia="zh-CN"/>
        </w:rPr>
      </w:pPr>
      <w:r>
        <w:rPr>
          <w:rFonts w:hint="eastAsia" w:asciiTheme="minorEastAsia" w:hAnsiTheme="minorEastAsia" w:cstheme="minorEastAsia"/>
          <w:color w:val="auto"/>
          <w:sz w:val="24"/>
          <w:szCs w:val="32"/>
          <w:highlight w:val="none"/>
        </w:rPr>
        <w:t>联系方式：</w:t>
      </w:r>
      <w:r>
        <w:rPr>
          <w:rFonts w:hint="eastAsia" w:asciiTheme="minorEastAsia" w:hAnsiTheme="minorEastAsia" w:cstheme="minorEastAsia"/>
          <w:color w:val="auto"/>
          <w:sz w:val="24"/>
          <w:szCs w:val="32"/>
          <w:highlight w:val="none"/>
          <w:lang w:val="en-US" w:eastAsia="zh-CN"/>
        </w:rPr>
        <w:t>0536-8882306</w:t>
      </w:r>
    </w:p>
    <w:p>
      <w:pPr>
        <w:keepNext w:val="0"/>
        <w:keepLines w:val="0"/>
        <w:pageBreakBefore w:val="0"/>
        <w:widowControl w:val="0"/>
        <w:tabs>
          <w:tab w:val="left" w:pos="1032"/>
          <w:tab w:val="left" w:pos="1134"/>
          <w:tab w:val="left" w:pos="126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八、其他：</w:t>
      </w:r>
    </w:p>
    <w:p>
      <w:pPr>
        <w:keepNext w:val="0"/>
        <w:keepLines w:val="0"/>
        <w:pageBreakBefore w:val="0"/>
        <w:widowControl w:val="0"/>
        <w:kinsoku/>
        <w:wordWrap w:val="0"/>
        <w:overflowPunct/>
        <w:topLinePunct/>
        <w:autoSpaceDE/>
        <w:autoSpaceDN/>
        <w:bidi w:val="0"/>
        <w:adjustRightInd/>
        <w:snapToGrid/>
        <w:spacing w:line="360" w:lineRule="auto"/>
        <w:ind w:firstLine="960" w:firstLineChars="400"/>
        <w:jc w:val="left"/>
        <w:textAlignment w:val="auto"/>
        <w:rPr>
          <w:rFonts w:hint="default" w:asciiTheme="minorEastAsia" w:hAnsiTheme="minorEastAsia" w:cstheme="minorEastAsia"/>
          <w:b/>
          <w:bCs/>
          <w:color w:val="auto"/>
          <w:sz w:val="24"/>
          <w:szCs w:val="32"/>
          <w:highlight w:val="none"/>
          <w:lang w:val="en-US" w:eastAsia="zh-CN"/>
        </w:rPr>
      </w:pPr>
      <w:r>
        <w:rPr>
          <w:rFonts w:hint="eastAsia" w:asciiTheme="minorEastAsia" w:hAnsiTheme="minorEastAsia" w:cstheme="minorEastAsia"/>
          <w:color w:val="auto"/>
          <w:sz w:val="24"/>
          <w:szCs w:val="32"/>
          <w:highlight w:val="none"/>
          <w:lang w:eastAsia="zh-CN"/>
        </w:rPr>
        <w:t>本项目</w:t>
      </w:r>
      <w:r>
        <w:rPr>
          <w:rFonts w:hint="eastAsia" w:asciiTheme="minorEastAsia" w:hAnsiTheme="minorEastAsia" w:cstheme="minorEastAsia"/>
          <w:color w:val="auto"/>
          <w:sz w:val="24"/>
          <w:szCs w:val="32"/>
          <w:highlight w:val="none"/>
          <w:lang w:val="en-US" w:eastAsia="zh-CN"/>
        </w:rPr>
        <w:t>磋商</w:t>
      </w:r>
      <w:r>
        <w:rPr>
          <w:rFonts w:hint="eastAsia" w:asciiTheme="minorEastAsia" w:hAnsiTheme="minorEastAsia" w:cstheme="minorEastAsia"/>
          <w:color w:val="auto"/>
          <w:sz w:val="24"/>
          <w:szCs w:val="32"/>
          <w:highlight w:val="none"/>
          <w:lang w:eastAsia="zh-CN"/>
        </w:rPr>
        <w:t>采用二轮报价，</w:t>
      </w:r>
      <w:r>
        <w:rPr>
          <w:rFonts w:hint="eastAsia" w:asciiTheme="minorEastAsia" w:hAnsiTheme="minorEastAsia" w:cstheme="minorEastAsia"/>
          <w:color w:val="auto"/>
          <w:sz w:val="24"/>
          <w:szCs w:val="32"/>
          <w:highlight w:val="none"/>
          <w:lang w:val="en-US" w:eastAsia="zh-CN"/>
        </w:rPr>
        <w:t>响应文件中报价为第一轮报价，现场磋商进行二轮（即最终轮）报价。</w:t>
      </w:r>
      <w:r>
        <w:rPr>
          <w:rFonts w:hint="eastAsia" w:asciiTheme="minorEastAsia" w:hAnsiTheme="minorEastAsia" w:cstheme="minorEastAsia"/>
          <w:b/>
          <w:bCs/>
          <w:color w:val="auto"/>
          <w:sz w:val="24"/>
          <w:szCs w:val="32"/>
          <w:highlight w:val="none"/>
          <w:lang w:val="en-US" w:eastAsia="zh-CN"/>
        </w:rPr>
        <w:t>供应商的首轮报价须同时在网站进行报价，且必须与纸质报价一致，否则响应无效。</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202</w:t>
      </w:r>
      <w:r>
        <w:rPr>
          <w:rFonts w:hint="eastAsia" w:asciiTheme="minorEastAsia" w:hAnsiTheme="minorEastAsia" w:cstheme="minorEastAsia"/>
          <w:color w:val="auto"/>
          <w:sz w:val="24"/>
          <w:szCs w:val="32"/>
          <w:highlight w:val="none"/>
          <w:lang w:val="en-US" w:eastAsia="zh-CN"/>
        </w:rPr>
        <w:t>4</w:t>
      </w:r>
      <w:r>
        <w:rPr>
          <w:rFonts w:hint="eastAsia" w:asciiTheme="minorEastAsia" w:hAnsiTheme="minorEastAsia" w:cstheme="minorEastAsia"/>
          <w:color w:val="auto"/>
          <w:sz w:val="24"/>
          <w:szCs w:val="32"/>
          <w:highlight w:val="none"/>
        </w:rPr>
        <w:t>年</w:t>
      </w:r>
      <w:r>
        <w:rPr>
          <w:rFonts w:hint="eastAsia" w:asciiTheme="minorEastAsia" w:hAnsiTheme="minorEastAsia" w:cstheme="minorEastAsia"/>
          <w:color w:val="auto"/>
          <w:sz w:val="24"/>
          <w:szCs w:val="32"/>
          <w:highlight w:val="none"/>
          <w:lang w:val="en-US" w:eastAsia="zh-CN"/>
        </w:rPr>
        <w:t>3月20</w:t>
      </w:r>
      <w:r>
        <w:rPr>
          <w:rFonts w:hint="eastAsia" w:asciiTheme="minorEastAsia" w:hAnsiTheme="minorEastAsia" w:cstheme="minorEastAsia"/>
          <w:color w:val="auto"/>
          <w:sz w:val="24"/>
          <w:szCs w:val="32"/>
          <w:highlight w:val="none"/>
        </w:rPr>
        <w:t>日</w:t>
      </w:r>
    </w:p>
    <w:p>
      <w:pPr>
        <w:rPr>
          <w:highlight w:val="none"/>
        </w:rPr>
      </w:pPr>
    </w:p>
    <w:p>
      <w:pPr>
        <w:pStyle w:val="2"/>
        <w:spacing w:line="520" w:lineRule="exact"/>
        <w:jc w:val="center"/>
        <w:rPr>
          <w:rFonts w:hint="eastAsia" w:asciiTheme="majorEastAsia" w:hAnsiTheme="majorEastAsia" w:eastAsiaTheme="majorEastAsia" w:cstheme="majorEastAsia"/>
          <w:sz w:val="32"/>
          <w:szCs w:val="32"/>
          <w:highlight w:val="none"/>
        </w:rPr>
        <w:sectPr>
          <w:footerReference r:id="rId3" w:type="default"/>
          <w:pgSz w:w="11906" w:h="16838"/>
          <w:pgMar w:top="1270" w:right="1293" w:bottom="1270" w:left="1519" w:header="851" w:footer="680" w:gutter="0"/>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32"/>
          <w:szCs w:val="32"/>
          <w:highlight w:val="none"/>
          <w:lang w:val="en-US" w:eastAsia="zh-CN"/>
        </w:rPr>
      </w:pPr>
      <w:bookmarkStart w:id="3" w:name="_Toc27630"/>
      <w:r>
        <w:rPr>
          <w:rFonts w:hint="eastAsia" w:asciiTheme="majorEastAsia" w:hAnsiTheme="majorEastAsia" w:eastAsiaTheme="majorEastAsia" w:cstheme="majorEastAsia"/>
          <w:sz w:val="32"/>
          <w:szCs w:val="32"/>
          <w:highlight w:val="none"/>
          <w:lang w:val="en-US" w:eastAsia="zh-CN"/>
        </w:rPr>
        <w:t>第二章 磋商须知</w:t>
      </w:r>
      <w:bookmarkEnd w:id="1"/>
      <w:bookmarkEnd w:id="2"/>
      <w:bookmarkEnd w:id="3"/>
    </w:p>
    <w:p>
      <w:pPr>
        <w:widowControl/>
        <w:adjustRightInd w:val="0"/>
        <w:jc w:val="center"/>
        <w:outlineLvl w:val="1"/>
        <w:rPr>
          <w:rFonts w:hint="eastAsia" w:ascii="宋体" w:hAnsi="宋体" w:eastAsia="宋体" w:cs="宋体"/>
          <w:b/>
          <w:sz w:val="28"/>
          <w:szCs w:val="22"/>
          <w:highlight w:val="none"/>
        </w:rPr>
      </w:pPr>
      <w:bookmarkStart w:id="4" w:name="_Toc15291"/>
      <w:bookmarkStart w:id="5" w:name="_Toc22923"/>
      <w:r>
        <w:rPr>
          <w:rFonts w:hint="eastAsia" w:ascii="宋体" w:hAnsi="宋体" w:eastAsia="宋体" w:cs="宋体"/>
          <w:b/>
          <w:sz w:val="28"/>
          <w:szCs w:val="22"/>
          <w:highlight w:val="none"/>
        </w:rPr>
        <w:t>一、磋商须知前附表</w:t>
      </w:r>
      <w:bookmarkEnd w:id="4"/>
      <w:bookmarkEnd w:id="5"/>
    </w:p>
    <w:tbl>
      <w:tblPr>
        <w:tblStyle w:val="21"/>
        <w:tblW w:w="47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17"/>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内容</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项目名称：营龙片区、南环片区、弥河片区一期棚户区改造项目外墙传热系数检测，</w:t>
            </w:r>
            <w:r>
              <w:rPr>
                <w:rFonts w:hint="eastAsia" w:ascii="宋体" w:hAnsi="宋体" w:eastAsia="宋体" w:cs="宋体"/>
                <w:sz w:val="21"/>
                <w:szCs w:val="21"/>
                <w:highlight w:val="none"/>
              </w:rPr>
              <w:t>采购内容</w:t>
            </w:r>
            <w:r>
              <w:rPr>
                <w:rFonts w:hint="eastAsia" w:ascii="宋体" w:hAnsi="宋体" w:eastAsia="宋体" w:cs="宋体"/>
                <w:sz w:val="21"/>
                <w:szCs w:val="21"/>
                <w:highlight w:val="none"/>
                <w:lang w:val="zh-CN"/>
              </w:rPr>
              <w:t>：详见“第</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lang w:val="zh-CN"/>
              </w:rPr>
              <w:t>章 采购项目内容及要求”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 xml:space="preserve"> 单个工程项目具备检测条件后，建设单位提前2天通知检测单位，20天内检测完成并出具报告。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资金情况</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资格要求</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1、具有建设主管部门颁发的有效的建设工程质量检测机构资质证书；</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资格审查</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磋商有效期</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1、纸质版响应文件：正本1份，副本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份，分别胶装成册。</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2、电子版PDF格式响应文件：1份（以U盘形式递交），必须是与磋商时提交的纸质响应文件正本完全一致的扫描件。注：该扫描件必须加盖单位公章、法定代表人（或授权委托人）必须签字或盖章。</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3、响应文件电子版与纸质版一并递交，无论成交与否，所有响应文件概不退还。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磋商保证金</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磋商</w:t>
            </w:r>
            <w:r>
              <w:rPr>
                <w:rFonts w:hint="eastAsia" w:ascii="宋体" w:hAnsi="宋体" w:eastAsia="宋体" w:cs="宋体"/>
                <w:sz w:val="21"/>
                <w:szCs w:val="21"/>
                <w:highlight w:val="none"/>
                <w:lang w:val="zh-CN"/>
              </w:rPr>
              <w:t>保证金数额：￥</w:t>
            </w:r>
            <w:r>
              <w:rPr>
                <w:rFonts w:hint="eastAsia" w:ascii="宋体" w:hAnsi="宋体" w:eastAsia="宋体" w:cs="宋体"/>
                <w:sz w:val="21"/>
                <w:szCs w:val="21"/>
                <w:highlight w:val="none"/>
                <w:lang w:val="en-US" w:eastAsia="zh-CN"/>
              </w:rPr>
              <w:t>3000.00元</w:t>
            </w:r>
            <w:r>
              <w:rPr>
                <w:rFonts w:hint="eastAsia" w:ascii="宋体" w:hAnsi="宋体" w:eastAsia="宋体" w:cs="宋体"/>
                <w:sz w:val="21"/>
                <w:szCs w:val="21"/>
                <w:highlight w:val="none"/>
                <w:lang w:val="zh-CN"/>
              </w:rPr>
              <w:t>。</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户    名：天佑德建设咨询有限公司</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开户银行：民生银行潍坊分行营业部 </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账    号：634  621  252</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zh-CN"/>
              </w:rPr>
              <w:t>递交截</w:t>
            </w:r>
            <w:r>
              <w:rPr>
                <w:rFonts w:hint="eastAsia" w:ascii="宋体" w:hAnsi="宋体" w:eastAsia="宋体" w:cs="宋体"/>
                <w:color w:val="auto"/>
                <w:sz w:val="21"/>
                <w:szCs w:val="21"/>
                <w:highlight w:val="none"/>
                <w:lang w:val="zh-CN"/>
              </w:rPr>
              <w:t>止时间：202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val="zh-CN"/>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分前（</w:t>
            </w:r>
            <w:r>
              <w:rPr>
                <w:rFonts w:hint="eastAsia" w:ascii="宋体" w:hAnsi="宋体" w:eastAsia="宋体" w:cs="宋体"/>
                <w:color w:val="auto"/>
                <w:sz w:val="21"/>
                <w:szCs w:val="21"/>
                <w:highlight w:val="none"/>
              </w:rPr>
              <w:t>以银行到账时间为准）</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b/>
                <w:bCs/>
                <w:sz w:val="21"/>
                <w:szCs w:val="21"/>
                <w:highlight w:val="none"/>
                <w:lang w:val="zh-CN"/>
              </w:rPr>
            </w:pPr>
            <w:r>
              <w:rPr>
                <w:rFonts w:hint="eastAsia" w:ascii="宋体" w:hAnsi="宋体" w:eastAsia="宋体" w:cs="宋体"/>
                <w:sz w:val="21"/>
                <w:szCs w:val="21"/>
                <w:highlight w:val="none"/>
                <w:lang w:val="zh-CN"/>
              </w:rPr>
              <w:t>递交方式：电汇</w:t>
            </w:r>
            <w:r>
              <w:rPr>
                <w:rFonts w:hint="eastAsia" w:ascii="宋体" w:hAnsi="宋体" w:eastAsia="宋体" w:cs="宋体"/>
                <w:sz w:val="21"/>
                <w:szCs w:val="21"/>
                <w:highlight w:val="none"/>
              </w:rPr>
              <w:t>或网银形式从供应商基本账户转出，</w:t>
            </w:r>
            <w:r>
              <w:rPr>
                <w:rFonts w:hint="eastAsia" w:ascii="宋体" w:hAnsi="宋体" w:eastAsia="宋体" w:cs="宋体"/>
                <w:b/>
                <w:bCs/>
                <w:sz w:val="21"/>
                <w:szCs w:val="21"/>
                <w:highlight w:val="none"/>
              </w:rPr>
              <w:t>未按规定递交磋商保证金的其响应无效</w:t>
            </w:r>
            <w:r>
              <w:rPr>
                <w:rFonts w:hint="eastAsia" w:ascii="宋体" w:hAnsi="宋体" w:eastAsia="宋体" w:cs="宋体"/>
                <w:b/>
                <w:bCs/>
                <w:sz w:val="21"/>
                <w:szCs w:val="21"/>
                <w:highlight w:val="none"/>
                <w:lang w:val="zh-CN"/>
              </w:rPr>
              <w:t>。</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注：汇款时</w:t>
            </w:r>
            <w:r>
              <w:rPr>
                <w:rFonts w:hint="eastAsia" w:ascii="宋体" w:hAnsi="宋体" w:eastAsia="宋体" w:cs="宋体"/>
                <w:sz w:val="21"/>
                <w:szCs w:val="21"/>
                <w:highlight w:val="none"/>
              </w:rPr>
              <w:t>务必</w:t>
            </w:r>
            <w:r>
              <w:rPr>
                <w:rFonts w:hint="eastAsia" w:ascii="宋体" w:hAnsi="宋体" w:eastAsia="宋体" w:cs="宋体"/>
                <w:sz w:val="21"/>
                <w:szCs w:val="21"/>
                <w:highlight w:val="none"/>
                <w:lang w:val="zh-CN"/>
              </w:rPr>
              <w:t>注明项目名称。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现场踏勘及答疑</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供应商可自行现场踏勘。如有疑问需要澄清，请于响应文件</w:t>
            </w:r>
            <w:r>
              <w:rPr>
                <w:rFonts w:hint="eastAsia" w:ascii="宋体" w:hAnsi="宋体" w:eastAsia="宋体" w:cs="宋体"/>
                <w:sz w:val="21"/>
                <w:szCs w:val="21"/>
                <w:highlight w:val="none"/>
                <w:lang w:val="en-US" w:eastAsia="zh-CN"/>
              </w:rPr>
              <w:t>递交</w:t>
            </w:r>
            <w:r>
              <w:rPr>
                <w:rFonts w:hint="eastAsia" w:ascii="宋体" w:hAnsi="宋体" w:eastAsia="宋体" w:cs="宋体"/>
                <w:sz w:val="21"/>
                <w:szCs w:val="21"/>
                <w:highlight w:val="none"/>
                <w:lang w:val="zh-CN"/>
              </w:rPr>
              <w:t>截止时间5日前，将加盖公章的扫描件及word可编辑电子版发送至邮箱：</w:t>
            </w:r>
            <w:r>
              <w:rPr>
                <w:rFonts w:hint="eastAsia" w:ascii="宋体" w:hAnsi="宋体" w:eastAsia="宋体" w:cs="宋体"/>
                <w:color w:val="auto"/>
                <w:sz w:val="21"/>
                <w:szCs w:val="21"/>
                <w:highlight w:val="none"/>
                <w:lang w:val="en-US" w:eastAsia="zh-CN"/>
              </w:rPr>
              <w:t>sdty2007</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"mailto:sjhdzbyl@163.com，同时电话通知采购代理机构（yangl" </w:instrText>
            </w:r>
            <w:r>
              <w:rPr>
                <w:rFonts w:hint="eastAsia" w:ascii="宋体" w:hAnsi="宋体" w:eastAsia="宋体" w:cs="宋体"/>
                <w:color w:val="auto"/>
                <w:sz w:val="21"/>
                <w:szCs w:val="21"/>
                <w:highlight w:val="none"/>
                <w:lang w:val="zh-CN"/>
              </w:rPr>
              <w:fldChar w:fldCharType="separate"/>
            </w:r>
            <w:r>
              <w:rPr>
                <w:rStyle w:val="31"/>
                <w:rFonts w:hint="eastAsia" w:ascii="宋体" w:hAnsi="宋体" w:eastAsia="宋体" w:cs="宋体"/>
                <w:color w:val="auto"/>
                <w:sz w:val="21"/>
                <w:szCs w:val="21"/>
                <w:highlight w:val="none"/>
                <w:lang w:val="zh-CN"/>
              </w:rPr>
              <w:t>@1</w:t>
            </w:r>
            <w:r>
              <w:rPr>
                <w:rStyle w:val="31"/>
                <w:rFonts w:hint="eastAsia" w:ascii="宋体" w:hAnsi="宋体" w:eastAsia="宋体" w:cs="宋体"/>
                <w:color w:val="auto"/>
                <w:sz w:val="21"/>
                <w:szCs w:val="21"/>
                <w:highlight w:val="none"/>
                <w:lang w:val="en-US" w:eastAsia="zh-CN"/>
              </w:rPr>
              <w:t>26</w:t>
            </w:r>
            <w:r>
              <w:rPr>
                <w:rStyle w:val="31"/>
                <w:rFonts w:hint="eastAsia" w:ascii="宋体" w:hAnsi="宋体" w:eastAsia="宋体" w:cs="宋体"/>
                <w:color w:val="auto"/>
                <w:sz w:val="21"/>
                <w:szCs w:val="21"/>
                <w:highlight w:val="none"/>
                <w:lang w:val="zh-CN"/>
              </w:rPr>
              <w:t>.com，同时电话通知采购代理机构（</w:t>
            </w:r>
            <w:r>
              <w:rPr>
                <w:rFonts w:hint="eastAsia" w:ascii="宋体" w:hAnsi="宋体" w:eastAsia="宋体" w:cs="宋体"/>
                <w:color w:val="auto"/>
                <w:sz w:val="21"/>
                <w:szCs w:val="21"/>
                <w:highlight w:val="none"/>
                <w:lang w:val="en-US" w:eastAsia="zh-CN"/>
              </w:rPr>
              <w:t>张</w:t>
            </w:r>
            <w:r>
              <w:rPr>
                <w:rFonts w:hint="eastAsia" w:ascii="宋体" w:hAnsi="宋体" w:eastAsia="宋体" w:cs="宋体"/>
                <w:color w:val="auto"/>
                <w:sz w:val="21"/>
                <w:szCs w:val="21"/>
                <w:highlight w:val="none"/>
                <w:lang w:val="zh-CN"/>
              </w:rPr>
              <w:fldChar w:fldCharType="end"/>
            </w:r>
            <w:r>
              <w:rPr>
                <w:rFonts w:hint="eastAsia" w:ascii="宋体" w:hAnsi="宋体" w:eastAsia="宋体" w:cs="宋体"/>
                <w:sz w:val="21"/>
                <w:szCs w:val="21"/>
                <w:highlight w:val="none"/>
                <w:lang w:val="zh-CN"/>
              </w:rPr>
              <w:t>磊，</w:t>
            </w:r>
            <w:r>
              <w:rPr>
                <w:rFonts w:hint="eastAsia" w:asciiTheme="minorEastAsia" w:hAnsiTheme="minorEastAsia" w:cstheme="minorEastAsia"/>
                <w:color w:val="auto"/>
                <w:sz w:val="24"/>
                <w:szCs w:val="32"/>
                <w:highlight w:val="none"/>
                <w:lang w:val="en-US" w:eastAsia="zh-CN"/>
              </w:rPr>
              <w:t>0536-8882306</w:t>
            </w:r>
            <w:r>
              <w:rPr>
                <w:rFonts w:hint="eastAsia" w:ascii="宋体" w:hAnsi="宋体" w:eastAsia="宋体" w:cs="宋体"/>
                <w:sz w:val="21"/>
                <w:szCs w:val="21"/>
                <w:highlight w:val="none"/>
                <w:lang w:val="zh-CN"/>
              </w:rPr>
              <w:t>）。答疑文件经有关单位同意后，以书面形式通知所有已获取磋商文件的供应商，答疑文件与磋商文件不一致之处，以答疑文件为准。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响应文件递交地点及截止时间</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地点：临朐县城投二楼会议室</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磋商时间及地点</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磋商地点：临朐县城投二楼会议室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报价</w:t>
            </w:r>
            <w:r>
              <w:rPr>
                <w:rFonts w:hint="eastAsia" w:ascii="宋体" w:hAnsi="宋体" w:eastAsia="宋体" w:cs="宋体"/>
                <w:sz w:val="21"/>
                <w:szCs w:val="21"/>
                <w:highlight w:val="none"/>
              </w:rPr>
              <w:t>原则</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Cs w:val="21"/>
                <w:highlight w:val="none"/>
                <w:lang w:eastAsia="zh-CN"/>
              </w:rPr>
              <w:t>本项目磋商采用二轮报价，响应文件中报价为第一轮报价，现场磋商进行二轮（即最终轮）报价。</w:t>
            </w:r>
            <w:r>
              <w:rPr>
                <w:rFonts w:hint="eastAsia" w:ascii="宋体" w:hAnsi="宋体" w:eastAsia="宋体" w:cs="宋体"/>
                <w:b/>
                <w:bCs/>
                <w:szCs w:val="21"/>
                <w:highlight w:val="none"/>
                <w:lang w:eastAsia="zh-CN"/>
              </w:rPr>
              <w:t>供应商的首轮报价须同时在网站进行报价，且必须与纸质报价一致，否则响应无效。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合同签订后，检测完成并出具报告完成后一次性付清（无息）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745"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控制</w:t>
            </w:r>
            <w:r>
              <w:rPr>
                <w:rFonts w:hint="eastAsia" w:ascii="宋体" w:hAnsi="宋体" w:eastAsia="宋体" w:cs="宋体"/>
                <w:color w:val="auto"/>
                <w:sz w:val="21"/>
                <w:szCs w:val="21"/>
                <w:highlight w:val="none"/>
                <w:lang w:val="en-US" w:eastAsia="zh-CN"/>
              </w:rPr>
              <w:t>价</w:t>
            </w:r>
          </w:p>
        </w:tc>
        <w:tc>
          <w:tcPr>
            <w:tcW w:w="4013"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肆拾贰万元整</w:t>
            </w:r>
            <w:r>
              <w:rPr>
                <w:rFonts w:hint="eastAsia" w:ascii="宋体" w:hAnsi="宋体" w:eastAsia="宋体" w:cs="宋体"/>
                <w:color w:val="auto"/>
                <w:sz w:val="21"/>
                <w:szCs w:val="21"/>
                <w:highlight w:val="none"/>
              </w:rPr>
              <w:t>，每轮报价均不得高于控制</w:t>
            </w:r>
            <w:r>
              <w:rPr>
                <w:rFonts w:hint="eastAsia" w:ascii="宋体" w:hAnsi="宋体" w:eastAsia="宋体" w:cs="宋体"/>
                <w:color w:val="auto"/>
                <w:sz w:val="21"/>
                <w:szCs w:val="21"/>
                <w:highlight w:val="none"/>
                <w:lang w:val="en-US" w:eastAsia="zh-CN"/>
              </w:rPr>
              <w:t>价</w:t>
            </w:r>
            <w:r>
              <w:rPr>
                <w:rFonts w:hint="eastAsia" w:ascii="宋体" w:hAnsi="宋体" w:eastAsia="宋体" w:cs="宋体"/>
                <w:color w:val="auto"/>
                <w:sz w:val="21"/>
                <w:szCs w:val="21"/>
                <w:highlight w:val="none"/>
              </w:rPr>
              <w:t>，否则其响应文件按无效响应处理。</w:t>
            </w:r>
          </w:p>
        </w:tc>
      </w:tr>
    </w:tbl>
    <w:p>
      <w:pPr>
        <w:spacing w:line="480" w:lineRule="exact"/>
        <w:jc w:val="left"/>
        <w:rPr>
          <w:rFonts w:asciiTheme="minorEastAsia" w:hAnsiTheme="minorEastAsia" w:cstheme="minorEastAsia"/>
          <w:sz w:val="24"/>
          <w:highlight w:val="none"/>
        </w:rPr>
      </w:pPr>
      <w:bookmarkStart w:id="6" w:name="_Toc15875"/>
      <w:bookmarkStart w:id="7" w:name="_Toc26143"/>
      <w:bookmarkStart w:id="8" w:name="_Toc4323"/>
      <w:r>
        <w:rPr>
          <w:rFonts w:hint="eastAsia" w:ascii="宋体" w:hAnsi="宋体"/>
          <w:b/>
          <w:sz w:val="24"/>
          <w:highlight w:val="none"/>
        </w:rPr>
        <w:t>注：</w:t>
      </w:r>
      <w:bookmarkEnd w:id="6"/>
      <w:bookmarkEnd w:id="7"/>
      <w:bookmarkEnd w:id="8"/>
      <w:r>
        <w:rPr>
          <w:rFonts w:hint="eastAsia" w:ascii="宋体" w:hAnsi="宋体" w:cs="宋体"/>
          <w:b/>
          <w:kern w:val="1"/>
          <w:sz w:val="24"/>
          <w:highlight w:val="none"/>
        </w:rPr>
        <w:t>供应商要认真、全面、综合地阅读、理解本磋商文件及其澄清、修改、补充等文件，如有疑问，要按前附表的规定按时提出。采购人对供应商的任何推论、理解和结论不负责任。</w:t>
      </w:r>
    </w:p>
    <w:p>
      <w:pPr>
        <w:rPr>
          <w:rFonts w:asciiTheme="minorEastAsia" w:hAnsiTheme="minorEastAsia" w:cstheme="minorEastAsia"/>
          <w:sz w:val="24"/>
          <w:highlight w:val="none"/>
        </w:rPr>
      </w:pPr>
      <w:r>
        <w:rPr>
          <w:rFonts w:hint="eastAsia" w:asciiTheme="minorEastAsia" w:hAnsiTheme="minorEastAsia" w:cstheme="minorEastAsia"/>
          <w:sz w:val="24"/>
          <w:highlight w:val="none"/>
        </w:rPr>
        <w:br w:type="page"/>
      </w:r>
    </w:p>
    <w:p>
      <w:pPr>
        <w:wordWrap w:val="0"/>
        <w:jc w:val="center"/>
        <w:outlineLvl w:val="1"/>
        <w:rPr>
          <w:rFonts w:ascii="宋体" w:hAnsi="宋体"/>
          <w:b/>
          <w:sz w:val="28"/>
          <w:szCs w:val="28"/>
          <w:highlight w:val="none"/>
        </w:rPr>
      </w:pPr>
      <w:bookmarkStart w:id="9" w:name="_Toc6626"/>
      <w:r>
        <w:rPr>
          <w:rFonts w:hint="eastAsia" w:ascii="宋体" w:hAnsi="宋体"/>
          <w:b/>
          <w:sz w:val="28"/>
          <w:szCs w:val="28"/>
          <w:highlight w:val="none"/>
        </w:rPr>
        <w:t>二</w:t>
      </w:r>
      <w:r>
        <w:rPr>
          <w:rFonts w:ascii="宋体" w:hAnsi="宋体"/>
          <w:b/>
          <w:sz w:val="28"/>
          <w:szCs w:val="28"/>
          <w:highlight w:val="none"/>
        </w:rPr>
        <w:t>、</w:t>
      </w:r>
      <w:r>
        <w:rPr>
          <w:rFonts w:hint="eastAsia" w:ascii="宋体" w:hAnsi="宋体"/>
          <w:b/>
          <w:sz w:val="28"/>
          <w:szCs w:val="28"/>
          <w:highlight w:val="none"/>
        </w:rPr>
        <w:t>供应商</w:t>
      </w:r>
      <w:r>
        <w:rPr>
          <w:rFonts w:ascii="宋体" w:hAnsi="宋体"/>
          <w:b/>
          <w:sz w:val="28"/>
          <w:szCs w:val="28"/>
          <w:highlight w:val="none"/>
        </w:rPr>
        <w:t>须知</w:t>
      </w:r>
      <w:bookmarkEnd w:id="9"/>
    </w:p>
    <w:p>
      <w:pPr>
        <w:spacing w:line="480" w:lineRule="exact"/>
        <w:ind w:firstLine="482"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1、适用范围</w:t>
      </w:r>
    </w:p>
    <w:p>
      <w:pPr>
        <w:spacing w:line="48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1.1本磋商文件仅适用于</w:t>
      </w:r>
      <w:r>
        <w:rPr>
          <w:rFonts w:hint="eastAsia" w:asciiTheme="minorEastAsia" w:hAnsiTheme="minorEastAsia" w:cstheme="minorEastAsia"/>
          <w:sz w:val="24"/>
          <w:highlight w:val="none"/>
          <w:lang w:val="zh-CN"/>
        </w:rPr>
        <w:t>营龙片区、南环片区、弥河片区一期棚户区改造项目外墙传热系数检测</w:t>
      </w:r>
      <w:r>
        <w:rPr>
          <w:rFonts w:hint="eastAsia" w:asciiTheme="minorEastAsia" w:hAnsiTheme="minorEastAsia" w:cstheme="minorEastAsia"/>
          <w:sz w:val="24"/>
          <w:highlight w:val="none"/>
        </w:rPr>
        <w:t>。</w:t>
      </w:r>
    </w:p>
    <w:p>
      <w:pPr>
        <w:spacing w:line="480" w:lineRule="exact"/>
        <w:ind w:firstLine="482"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2、定义</w:t>
      </w:r>
    </w:p>
    <w:p>
      <w:pPr>
        <w:spacing w:line="48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2.1“采购人”系指采购本项目的</w:t>
      </w:r>
      <w:r>
        <w:rPr>
          <w:rFonts w:hint="eastAsia" w:asciiTheme="minorEastAsia" w:hAnsiTheme="minorEastAsia" w:cstheme="minorEastAsia"/>
          <w:sz w:val="24"/>
          <w:highlight w:val="none"/>
          <w:lang w:eastAsia="zh-CN"/>
        </w:rPr>
        <w:t>临朐沂山实业有限公司</w:t>
      </w:r>
      <w:r>
        <w:rPr>
          <w:rFonts w:hint="eastAsia" w:asciiTheme="minorEastAsia" w:hAnsiTheme="minorEastAsia" w:cstheme="minorEastAsia"/>
          <w:sz w:val="24"/>
          <w:highlight w:val="none"/>
        </w:rPr>
        <w:t>。</w:t>
      </w:r>
    </w:p>
    <w:p>
      <w:pPr>
        <w:spacing w:line="48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2.2“采购代理机构”系指组织本次磋商活动的</w:t>
      </w:r>
      <w:r>
        <w:rPr>
          <w:rFonts w:hint="eastAsia" w:asciiTheme="minorEastAsia" w:hAnsiTheme="minorEastAsia" w:cstheme="minorEastAsia"/>
          <w:sz w:val="24"/>
          <w:highlight w:val="none"/>
          <w:lang w:eastAsia="zh-CN"/>
        </w:rPr>
        <w:t>天佑德建设咨询有限公司</w:t>
      </w:r>
      <w:r>
        <w:rPr>
          <w:rFonts w:hint="eastAsia" w:asciiTheme="minorEastAsia" w:hAnsiTheme="minorEastAsia" w:cstheme="minorEastAsia"/>
          <w:sz w:val="24"/>
          <w:highlight w:val="none"/>
        </w:rPr>
        <w:t>。</w:t>
      </w:r>
    </w:p>
    <w:p>
      <w:pPr>
        <w:spacing w:line="48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2.3“供应商”系指符合本项目竞争性磋商公告及竞争性磋商文件中要求的资格条件，并提交响应文件的单位。</w:t>
      </w:r>
    </w:p>
    <w:p>
      <w:pPr>
        <w:spacing w:line="480" w:lineRule="exact"/>
        <w:ind w:firstLine="482"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3、合格的供应商</w:t>
      </w:r>
    </w:p>
    <w:p>
      <w:pPr>
        <w:spacing w:line="48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3.1供应商资格要求见本须知前附表。</w:t>
      </w:r>
    </w:p>
    <w:p>
      <w:pPr>
        <w:spacing w:line="480" w:lineRule="exact"/>
        <w:ind w:firstLine="480" w:firstLineChars="200"/>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rPr>
        <w:t>3.2</w:t>
      </w:r>
      <w:r>
        <w:rPr>
          <w:rFonts w:hint="eastAsia" w:asciiTheme="minorEastAsia" w:hAnsiTheme="minorEastAsia" w:cstheme="minorEastAsia"/>
          <w:sz w:val="24"/>
          <w:highlight w:val="none"/>
          <w:lang w:val="en-US" w:eastAsia="zh-CN"/>
        </w:rPr>
        <w:t>资格证明材料：</w:t>
      </w:r>
    </w:p>
    <w:p>
      <w:pPr>
        <w:spacing w:line="480" w:lineRule="exact"/>
        <w:ind w:firstLine="482" w:firstLineChars="200"/>
        <w:jc w:val="left"/>
        <w:rPr>
          <w:b/>
          <w:bCs/>
          <w:highlight w:val="none"/>
        </w:rPr>
      </w:pPr>
      <w:r>
        <w:rPr>
          <w:rFonts w:hint="eastAsia" w:asciiTheme="minorEastAsia" w:hAnsiTheme="minorEastAsia" w:cstheme="minorEastAsia"/>
          <w:b/>
          <w:bCs/>
          <w:sz w:val="24"/>
          <w:highlight w:val="none"/>
        </w:rPr>
        <w:t>①营业执照；</w:t>
      </w:r>
    </w:p>
    <w:p>
      <w:pPr>
        <w:spacing w:line="480" w:lineRule="exact"/>
        <w:ind w:firstLine="482" w:firstLineChars="200"/>
        <w:jc w:val="left"/>
        <w:rPr>
          <w:rFonts w:hint="eastAsia"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rPr>
        <w:t>②</w:t>
      </w:r>
      <w:r>
        <w:rPr>
          <w:rFonts w:hint="eastAsia" w:asciiTheme="minorEastAsia" w:hAnsiTheme="minorEastAsia" w:cstheme="minorEastAsia"/>
          <w:b/>
          <w:bCs/>
          <w:sz w:val="24"/>
          <w:highlight w:val="none"/>
          <w:lang w:val="en-US" w:eastAsia="zh-CN"/>
        </w:rPr>
        <w:t>建设主管部门颁发的有效的建设工程质量检测机构资质证书；</w:t>
      </w:r>
    </w:p>
    <w:p>
      <w:pPr>
        <w:spacing w:line="480" w:lineRule="exact"/>
        <w:ind w:firstLine="482"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lang w:val="en-US" w:eastAsia="zh-CN"/>
        </w:rPr>
        <w:t>③</w:t>
      </w:r>
      <w:r>
        <w:rPr>
          <w:rFonts w:hint="eastAsia" w:asciiTheme="minorEastAsia" w:hAnsiTheme="minorEastAsia" w:cstheme="minorEastAsia"/>
          <w:b/>
          <w:bCs/>
          <w:sz w:val="24"/>
          <w:highlight w:val="none"/>
        </w:rPr>
        <w:t>法定代表人资格证明书及法定代表人授权委托书（法定代表人亲自参加磋商时，不需提供法定代表人授权委托书）；</w:t>
      </w:r>
    </w:p>
    <w:p>
      <w:pPr>
        <w:spacing w:line="480" w:lineRule="exact"/>
        <w:ind w:firstLine="482" w:firstLineChars="200"/>
        <w:jc w:val="left"/>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lang w:val="en-US" w:eastAsia="zh-CN"/>
        </w:rPr>
        <w:t>④</w:t>
      </w:r>
      <w:r>
        <w:rPr>
          <w:rFonts w:hint="eastAsia" w:asciiTheme="minorEastAsia" w:hAnsiTheme="minorEastAsia" w:cstheme="minorEastAsia"/>
          <w:b/>
          <w:bCs/>
          <w:sz w:val="24"/>
          <w:highlight w:val="none"/>
        </w:rPr>
        <w:t>信用承诺书；</w:t>
      </w:r>
    </w:p>
    <w:p>
      <w:pPr>
        <w:spacing w:line="480" w:lineRule="exact"/>
        <w:ind w:firstLine="480" w:firstLineChars="200"/>
        <w:jc w:val="left"/>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注：</w:t>
      </w:r>
      <w:r>
        <w:rPr>
          <w:rFonts w:hint="eastAsia" w:asciiTheme="minorEastAsia" w:hAnsiTheme="minorEastAsia" w:cstheme="minorEastAsia"/>
          <w:sz w:val="24"/>
          <w:highlight w:val="none"/>
        </w:rPr>
        <w:t>（1）以上证件为资格后审必备条件</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磋商</w:t>
      </w:r>
      <w:r>
        <w:rPr>
          <w:rFonts w:hint="eastAsia" w:asciiTheme="minorEastAsia" w:hAnsiTheme="minorEastAsia" w:cstheme="minorEastAsia"/>
          <w:sz w:val="24"/>
          <w:highlight w:val="none"/>
        </w:rPr>
        <w:t>时必须同时备齐原件或加盖公章的复印件（在响应文件中提供加盖公章的复印件也视为有效），缺一不可，未通过资格审查的供应商将不能进入详细评审。</w:t>
      </w:r>
    </w:p>
    <w:p>
      <w:pPr>
        <w:spacing w:line="480" w:lineRule="exact"/>
        <w:ind w:firstLine="480" w:firstLineChars="200"/>
        <w:jc w:val="left"/>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（2）上述材料的复印件需附在响应文件中。</w:t>
      </w:r>
    </w:p>
    <w:p>
      <w:pPr>
        <w:spacing w:line="48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3.3供应商借用他人资质或资格骗取成交的，成交无效；有违法所得的，没收其违法所得，并取消供应商及借出资格单位三年内在</w:t>
      </w:r>
      <w:r>
        <w:rPr>
          <w:rFonts w:hint="eastAsia" w:asciiTheme="minorEastAsia" w:hAnsiTheme="minorEastAsia" w:cstheme="minorEastAsia"/>
          <w:sz w:val="24"/>
          <w:highlight w:val="none"/>
          <w:lang w:eastAsia="zh-CN"/>
        </w:rPr>
        <w:t>临朐沂山实业有限公司</w:t>
      </w:r>
      <w:r>
        <w:rPr>
          <w:rFonts w:hint="eastAsia" w:asciiTheme="minorEastAsia" w:hAnsiTheme="minorEastAsia" w:cstheme="minorEastAsia"/>
          <w:sz w:val="24"/>
          <w:highlight w:val="none"/>
        </w:rPr>
        <w:t>项目的投标资格。</w:t>
      </w:r>
    </w:p>
    <w:p>
      <w:pPr>
        <w:spacing w:line="480" w:lineRule="exact"/>
        <w:ind w:firstLine="482"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4、磋商费用</w:t>
      </w:r>
    </w:p>
    <w:p>
      <w:pPr>
        <w:spacing w:line="480" w:lineRule="exact"/>
        <w:ind w:firstLine="480" w:firstLineChars="20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sz w:val="24"/>
          <w:highlight w:val="none"/>
        </w:rPr>
        <w:t>无论磋商结果如何，供应商均应自行承担所有与参加磋商有关的费用。成交供应商</w:t>
      </w:r>
      <w:r>
        <w:rPr>
          <w:rFonts w:hint="eastAsia" w:asciiTheme="minorEastAsia" w:hAnsiTheme="minorEastAsia" w:cstheme="minorEastAsia"/>
          <w:color w:val="auto"/>
          <w:sz w:val="24"/>
          <w:highlight w:val="none"/>
        </w:rPr>
        <w:t>还应承担代理服务费，按照下表服务类规定的</w:t>
      </w:r>
      <w:r>
        <w:rPr>
          <w:rFonts w:hint="eastAsia" w:asciiTheme="minorEastAsia" w:hAnsiTheme="minorEastAsia" w:cstheme="minorEastAsia"/>
          <w:color w:val="auto"/>
          <w:sz w:val="24"/>
          <w:highlight w:val="none"/>
          <w:lang w:val="en-US" w:eastAsia="zh-CN"/>
        </w:rPr>
        <w:t>50</w:t>
      </w:r>
      <w:r>
        <w:rPr>
          <w:rFonts w:hint="eastAsia" w:asciiTheme="minorEastAsia" w:hAnsiTheme="minorEastAsia" w:cstheme="minorEastAsia"/>
          <w:color w:val="auto"/>
          <w:sz w:val="24"/>
          <w:highlight w:val="none"/>
        </w:rPr>
        <w:t>%，采用差额定率累进法计取。</w:t>
      </w:r>
    </w:p>
    <w:tbl>
      <w:tblPr>
        <w:tblStyle w:val="2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2128"/>
        <w:gridCol w:w="212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cstheme="minorEastAsia"/>
                <w:color w:val="auto"/>
                <w:spacing w:val="0"/>
                <w:sz w:val="21"/>
                <w:highlight w:val="none"/>
                <w:lang w:val="en-US" w:eastAsia="zh-CN"/>
              </w:rPr>
              <w:t>计费基数</w:t>
            </w:r>
            <w:r>
              <w:rPr>
                <w:rFonts w:hint="eastAsia" w:asciiTheme="minorEastAsia" w:hAnsiTheme="minorEastAsia" w:eastAsiaTheme="minorEastAsia" w:cstheme="minorEastAsia"/>
                <w:color w:val="auto"/>
                <w:spacing w:val="0"/>
                <w:sz w:val="21"/>
                <w:highlight w:val="none"/>
              </w:rPr>
              <w:t>（万元）</w:t>
            </w:r>
          </w:p>
        </w:tc>
        <w:tc>
          <w:tcPr>
            <w:tcW w:w="2128"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货物</w:t>
            </w:r>
          </w:p>
        </w:tc>
        <w:tc>
          <w:tcPr>
            <w:tcW w:w="2128"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服务</w:t>
            </w:r>
          </w:p>
        </w:tc>
        <w:tc>
          <w:tcPr>
            <w:tcW w:w="2128"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100以下</w:t>
            </w:r>
          </w:p>
        </w:tc>
        <w:tc>
          <w:tcPr>
            <w:tcW w:w="2128"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1.5%</w:t>
            </w:r>
          </w:p>
        </w:tc>
        <w:tc>
          <w:tcPr>
            <w:tcW w:w="2128"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1.5%</w:t>
            </w:r>
          </w:p>
        </w:tc>
        <w:tc>
          <w:tcPr>
            <w:tcW w:w="2128"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100-500</w:t>
            </w:r>
          </w:p>
        </w:tc>
        <w:tc>
          <w:tcPr>
            <w:tcW w:w="2128"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1.1%</w:t>
            </w:r>
          </w:p>
        </w:tc>
        <w:tc>
          <w:tcPr>
            <w:tcW w:w="2128"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0.8%</w:t>
            </w:r>
          </w:p>
        </w:tc>
        <w:tc>
          <w:tcPr>
            <w:tcW w:w="2128" w:type="dxa"/>
            <w:vAlign w:val="center"/>
          </w:tcPr>
          <w:p>
            <w:pPr>
              <w:spacing w:line="320" w:lineRule="exact"/>
              <w:jc w:val="center"/>
              <w:rPr>
                <w:rFonts w:asciiTheme="minorEastAsia" w:hAnsiTheme="minorEastAsia" w:eastAsiaTheme="minorEastAsia" w:cstheme="minorEastAsia"/>
                <w:color w:val="auto"/>
                <w:spacing w:val="0"/>
                <w:sz w:val="21"/>
                <w:highlight w:val="none"/>
              </w:rPr>
            </w:pPr>
            <w:r>
              <w:rPr>
                <w:rFonts w:hint="eastAsia" w:asciiTheme="minorEastAsia" w:hAnsiTheme="minorEastAsia" w:eastAsiaTheme="minorEastAsia" w:cstheme="minorEastAsia"/>
                <w:color w:val="auto"/>
                <w:spacing w:val="0"/>
                <w:sz w:val="21"/>
                <w:highlight w:val="none"/>
              </w:rPr>
              <w:t>0.7%</w:t>
            </w:r>
          </w:p>
        </w:tc>
      </w:tr>
    </w:tbl>
    <w:p>
      <w:pPr>
        <w:pStyle w:val="17"/>
        <w:spacing w:line="480" w:lineRule="exact"/>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5、答疑及现场踏勘</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5.1供应商可自行对项目现场及周围环境进行踏勘，以便获取有关编制响应文件和签署合同所涉及现场的资料。供应商自行承担现场踏勘所发生的费用。</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5.2采购人向供应商提供的有关现场的资料和数据，是采购人现有的能使供应商利用的资料。采购人对供应商由此而做出的推论、理解和结论概不负责。</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5.3经采购人允许，供应商可为踏勘目的进入采购人的项目现场，但供应商不得因此使采购人承担有关的责任和损失。供应商应承担现场踏勘的责任和风险。</w:t>
      </w:r>
    </w:p>
    <w:p>
      <w:pPr>
        <w:pStyle w:val="17"/>
        <w:spacing w:line="480" w:lineRule="exact"/>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6、磋商文件的组成</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6.l磋商文件包括下列内容：</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第一章 竞争性磋商公告</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第二章</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磋商须知</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第三章 </w:t>
      </w:r>
      <w:r>
        <w:rPr>
          <w:rFonts w:hint="eastAsia" w:asciiTheme="minorEastAsia" w:hAnsiTheme="minorEastAsia" w:eastAsiaTheme="minorEastAsia" w:cstheme="minorEastAsia"/>
          <w:sz w:val="24"/>
          <w:szCs w:val="24"/>
          <w:highlight w:val="none"/>
          <w:lang w:val="en-US" w:eastAsia="zh-CN"/>
        </w:rPr>
        <w:t>采购项目内容</w:t>
      </w:r>
      <w:r>
        <w:rPr>
          <w:rFonts w:hint="eastAsia" w:asciiTheme="minorEastAsia" w:hAnsiTheme="minorEastAsia" w:eastAsiaTheme="minorEastAsia" w:cstheme="minorEastAsia"/>
          <w:sz w:val="24"/>
          <w:szCs w:val="24"/>
          <w:highlight w:val="none"/>
        </w:rPr>
        <w:t>及要求</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第四章 合同主要条款</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第五章 响应文件（格式）</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第六章</w:t>
      </w:r>
      <w:r>
        <w:rPr>
          <w:rFonts w:hint="eastAsia" w:asciiTheme="minorEastAsia" w:hAnsiTheme="minorEastAsia" w:eastAsiaTheme="minorEastAsia" w:cstheme="minorEastAsia"/>
          <w:sz w:val="24"/>
          <w:szCs w:val="24"/>
          <w:highlight w:val="none"/>
        </w:rPr>
        <w:t xml:space="preserve"> 评审办法</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6.2供应商获取磋商文件后，若有问题需要澄清，应于磋商须知前附表规定的时间内，以书面形式提出，采购人将以答疑的方式予以解答，并将答疑文件以书面形式发放给所有已获取磋商文件的供应商。</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6.3在响应文件递交截止时间前，采购人都可能会以补充通知的方式修改磋商文件。</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答疑及澄清文件经有关单位同意后，以书面形式发放给所有已获取磋商文件的供应商，并构成磋商文件的组成部分，答疑及澄清文件与磋商文件不一致之处，以答疑及澄清文件为准。当磋商文件、磋商文件的澄清、修改、补充等在同一内容方面表述不一致时，以最后发出的文件为准。</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6.5为使供应商在准备响应文件时有合理的时间考虑磋商文件的修改，采购人可酌情推迟响应文件递交截止时间和磋商时间。</w:t>
      </w:r>
    </w:p>
    <w:p>
      <w:pPr>
        <w:pStyle w:val="17"/>
        <w:spacing w:line="480" w:lineRule="exact"/>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7、</w:t>
      </w:r>
      <w:r>
        <w:rPr>
          <w:rFonts w:hint="eastAsia" w:asciiTheme="minorEastAsia" w:hAnsiTheme="minorEastAsia" w:eastAsiaTheme="minorEastAsia" w:cstheme="minorEastAsia"/>
          <w:b/>
          <w:sz w:val="24"/>
          <w:szCs w:val="24"/>
          <w:highlight w:val="none"/>
          <w:lang w:val="en-US" w:eastAsia="zh-CN"/>
        </w:rPr>
        <w:t>响应</w:t>
      </w:r>
      <w:r>
        <w:rPr>
          <w:rFonts w:hint="eastAsia" w:asciiTheme="minorEastAsia" w:hAnsiTheme="minorEastAsia" w:eastAsiaTheme="minorEastAsia" w:cstheme="minorEastAsia"/>
          <w:b/>
          <w:sz w:val="24"/>
          <w:szCs w:val="24"/>
          <w:highlight w:val="none"/>
        </w:rPr>
        <w:t>文件的修改与撤回</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7.1供应商可以在递交响应文件以后，在规定的响应文件递交截止时间之前，以书面形式向采购人或采购代理机构递交修改或撤回其响应文件的通知。在响应文件递交截止时间以后，不能修改或撤回其响应文件。</w:t>
      </w:r>
    </w:p>
    <w:p>
      <w:pPr>
        <w:pStyle w:val="17"/>
        <w:spacing w:line="480" w:lineRule="exact"/>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8、响应文件</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8.1响应文件的组成</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详见“第</w:t>
      </w: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rPr>
        <w:t>章 响应文件（格式）”。</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8.2响应文件编制要求</w:t>
      </w:r>
    </w:p>
    <w:p>
      <w:pPr>
        <w:pStyle w:val="37"/>
        <w:widowControl w:val="0"/>
        <w:wordWrap w:val="0"/>
        <w:spacing w:line="52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8.2.1纸质版响应文件：正本1份，副本</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rPr>
        <w:t>份，分别胶装成册。</w:t>
      </w:r>
    </w:p>
    <w:p>
      <w:pPr>
        <w:pStyle w:val="17"/>
        <w:spacing w:line="480" w:lineRule="exact"/>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8.2.2电子版PDF格式响应文件：1份（以U盘形式递交），必须是与磋商时提交的纸质响应文件正本完全一致的扫描件。注：该扫描件必须加盖单位公章、法定代表人（或授权委托人）必须签字或盖章。</w:t>
      </w:r>
    </w:p>
    <w:p>
      <w:pPr>
        <w:pStyle w:val="17"/>
        <w:spacing w:line="480" w:lineRule="exact"/>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8.2.3如果响应文件正本与副本不符，以正本为准。响应文件应字迹清楚、内容齐全、数字准确、不应有涂改增删处。如修改时，修改处须加盖供应商公章。</w:t>
      </w:r>
    </w:p>
    <w:p>
      <w:pPr>
        <w:pStyle w:val="17"/>
        <w:spacing w:line="480" w:lineRule="exact"/>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8.2.4响应文件必须用不褪色的墨水填写或打印，并注明“正本”、“副本”字样。响应文件正副本均须采用A4纸胶装成册，不得出现散页、重页、掉页现象。</w:t>
      </w:r>
    </w:p>
    <w:p>
      <w:pPr>
        <w:pStyle w:val="17"/>
        <w:spacing w:line="480" w:lineRule="exact"/>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8.2.5响应文件中磋商函必须加盖供应商公章，法定代表人或其授权委托人必须签字或盖章。</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rPr>
        <w:t>8.2.6全套响应文件应无涂改和行间插字，除非这些删改是根据采购人指示进行的，或者是采购人造成的必须修改的错误。修改处应加盖供应商公章</w:t>
      </w:r>
      <w:r>
        <w:rPr>
          <w:rFonts w:hint="eastAsia" w:asciiTheme="minorEastAsia" w:hAnsiTheme="minorEastAsia" w:eastAsiaTheme="minorEastAsia" w:cstheme="minorEastAsia"/>
          <w:sz w:val="24"/>
          <w:szCs w:val="24"/>
          <w:highlight w:val="none"/>
        </w:rPr>
        <w:t>。</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bookmarkStart w:id="10" w:name="_Toc234039518"/>
      <w:bookmarkStart w:id="11" w:name="_Toc233623764"/>
      <w:bookmarkStart w:id="12" w:name="_Toc237332256"/>
      <w:bookmarkStart w:id="13" w:name="_Toc234038816"/>
      <w:bookmarkStart w:id="14" w:name="_Toc234039621"/>
      <w:r>
        <w:rPr>
          <w:rFonts w:hint="eastAsia" w:asciiTheme="minorEastAsia" w:hAnsiTheme="minorEastAsia" w:eastAsiaTheme="minorEastAsia" w:cstheme="minorEastAsia"/>
          <w:sz w:val="24"/>
          <w:szCs w:val="24"/>
          <w:highlight w:val="none"/>
        </w:rPr>
        <w:t>响应文件的提交</w:t>
      </w:r>
      <w:bookmarkEnd w:id="10"/>
      <w:bookmarkEnd w:id="11"/>
      <w:bookmarkEnd w:id="12"/>
      <w:bookmarkEnd w:id="13"/>
      <w:bookmarkEnd w:id="14"/>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8.3.1供应商应将响应文件密封提交。</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8.3.2供应商须于响应文件递交截止时间前递交响应文件，逾期则不予受理。</w:t>
      </w:r>
    </w:p>
    <w:p>
      <w:pPr>
        <w:pStyle w:val="17"/>
        <w:spacing w:line="480" w:lineRule="exact"/>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9、磋商保证金</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见磋商须知前附表。</w:t>
      </w:r>
    </w:p>
    <w:p>
      <w:pPr>
        <w:snapToGrid w:val="0"/>
        <w:spacing w:line="480" w:lineRule="exact"/>
        <w:ind w:firstLine="482" w:firstLineChars="200"/>
        <w:rPr>
          <w:rFonts w:asciiTheme="minorEastAsia" w:hAnsiTheme="minorEastAsia" w:cstheme="minorEastAsia"/>
          <w:b/>
          <w:sz w:val="24"/>
          <w:highlight w:val="none"/>
        </w:rPr>
      </w:pPr>
      <w:r>
        <w:rPr>
          <w:rFonts w:hint="eastAsia" w:asciiTheme="minorEastAsia" w:hAnsiTheme="minorEastAsia" w:cstheme="minorEastAsia"/>
          <w:b/>
          <w:sz w:val="24"/>
          <w:highlight w:val="none"/>
        </w:rPr>
        <w:t>10、磋商报价</w:t>
      </w:r>
    </w:p>
    <w:p>
      <w:pPr>
        <w:pStyle w:val="17"/>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10.1本项目采用固定</w:t>
      </w:r>
      <w:r>
        <w:rPr>
          <w:rFonts w:hint="eastAsia" w:asciiTheme="minorEastAsia" w:hAnsiTheme="minorEastAsia" w:eastAsiaTheme="minorEastAsia" w:cstheme="minorEastAsia"/>
          <w:color w:val="auto"/>
          <w:sz w:val="24"/>
          <w:szCs w:val="24"/>
          <w:highlight w:val="none"/>
          <w:lang w:val="en-US" w:eastAsia="zh-CN"/>
        </w:rPr>
        <w:t>总价</w:t>
      </w:r>
      <w:r>
        <w:rPr>
          <w:rFonts w:hint="eastAsia" w:asciiTheme="minorEastAsia" w:hAnsiTheme="minorEastAsia" w:eastAsiaTheme="minorEastAsia" w:cstheme="minorEastAsia"/>
          <w:color w:val="auto"/>
          <w:sz w:val="24"/>
          <w:szCs w:val="24"/>
          <w:highlight w:val="none"/>
        </w:rPr>
        <w:t>的合同形式。报价包含完成本项目的全部费用，在合同执行期间固定不变且不因任何市场及政策等因素做调整，成交供应商无权要求采购人另行支付任何价款，成交后不允许擅自改变服务内容、质量标准、服务期限。</w:t>
      </w:r>
    </w:p>
    <w:p>
      <w:pPr>
        <w:pStyle w:val="17"/>
        <w:spacing w:line="48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本次磋商采用二轮报价，供应商递交的响应文件中的报价为第一轮报价。除磋商过程中实质性内容变动外，后一轮报价不得高于前一轮报价，否则后一轮报价视为无效。</w:t>
      </w:r>
      <w:r>
        <w:rPr>
          <w:rFonts w:hint="eastAsia" w:asciiTheme="minorEastAsia" w:hAnsiTheme="minorEastAsia" w:eastAsiaTheme="minorEastAsia" w:cstheme="minorEastAsia"/>
          <w:b/>
          <w:bCs/>
          <w:sz w:val="24"/>
          <w:szCs w:val="24"/>
          <w:highlight w:val="none"/>
        </w:rPr>
        <w:t>供应商的首轮报价须同时在网站进行报价，且必须与纸质报价一致，否则响应无效</w:t>
      </w:r>
      <w:r>
        <w:rPr>
          <w:rFonts w:hint="eastAsia" w:asciiTheme="minorEastAsia" w:hAnsiTheme="minorEastAsia" w:eastAsiaTheme="minorEastAsia" w:cstheme="minorEastAsia"/>
          <w:b/>
          <w:bCs/>
          <w:sz w:val="24"/>
          <w:szCs w:val="24"/>
          <w:highlight w:val="none"/>
          <w:lang w:eastAsia="zh-CN"/>
        </w:rPr>
        <w:t>。</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最低报价不能作为成交的保证。</w:t>
      </w:r>
    </w:p>
    <w:p>
      <w:pPr>
        <w:pStyle w:val="17"/>
        <w:spacing w:line="480" w:lineRule="exact"/>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11、磋商工作程序</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.1磋商供应商递交响应文件。</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.2查验文件密封情况，由磋商供应商对响应文件密封情况进行确认。</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政府采购竞争性磋商采购方式管理暂行办法》（财库〔2014〕214号）第五条“采购人、采购代理机构应当按照政府采购法和本办法的规定组织开展竞争性磋商，并采取必要措施，保证磋商在严格保密的情况下进行”的规定，本项目供应商只需确认响应文件的密封情况，所有轮次报价均不进行公开唱价。</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.3磋商小组审阅响应文件：</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依据磋商文件的规定，对响应文件的有效性、完整性和对磋商文件的响应程度进行审查，以确定是否对磋商文件的要求做出实质性响应。未对磋商文件做实质性响应的供应商，其响应文件按响应无效处理，不得进入具体磋商程序。</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.4磋商开始：</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磋商小组所有成员集中与单一供应商按照次序分别进行磋商。磋商小组根据供应商的报价、响应内容及磋商的情况，并给予所有参加磋商的供应商平等的磋商机会。</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 xml:space="preserve">.4.1在磋商过程中，磋商小组可以根据磋商文件和磋商情况实质性变动采购需求中的技术、服务要求以及合同草案条款，但不得变动磋商文件中的其他内容。实质性变动的内容，须经采购人代表确认； </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 xml:space="preserve">.4.2对磋商文件作出的实质性变动是磋商文件的有效组成部分，磋商小组应当及时以书面形式通知所有参加磋商的供应商。 </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.5各供应商重新递交响应文件（或最后报价）：</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应当按照磋商文件的变动情况和磋商小组的要求重新递交响应文件（若磋商文件能够详细列明采购标的技术、服务要求的，磋商结束后，磋商小组应当要求所有实质性响应的供应商在规定时间内递交最后报价），最后报价是供应商响应文件的有效组成部分。</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磋商小组应当要求所有实质性响应的供应商在规定时间内递交最后报价，递交最后报价的供应商不得少于3家。</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确定成交供应商。</w:t>
      </w:r>
    </w:p>
    <w:p>
      <w:pPr>
        <w:pStyle w:val="17"/>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.1由磋商小组采用综合评分法对提交最后响应文件及</w:t>
      </w:r>
      <w:r>
        <w:rPr>
          <w:rFonts w:hint="eastAsia" w:asciiTheme="minorEastAsia" w:hAnsiTheme="minorEastAsia" w:eastAsiaTheme="minorEastAsia" w:cstheme="minorEastAsia"/>
          <w:sz w:val="24"/>
          <w:szCs w:val="24"/>
          <w:highlight w:val="none"/>
          <w:lang w:eastAsia="zh-CN"/>
        </w:rPr>
        <w:t>最后报价</w:t>
      </w:r>
      <w:r>
        <w:rPr>
          <w:rFonts w:hint="eastAsia" w:asciiTheme="minorEastAsia" w:hAnsiTheme="minorEastAsia" w:eastAsiaTheme="minorEastAsia" w:cstheme="minorEastAsia"/>
          <w:sz w:val="24"/>
          <w:szCs w:val="24"/>
          <w:highlight w:val="none"/>
        </w:rPr>
        <w:t>的供应商进行综合评分。</w:t>
      </w:r>
    </w:p>
    <w:p>
      <w:pPr>
        <w:pStyle w:val="17"/>
        <w:spacing w:line="480" w:lineRule="exact"/>
        <w:ind w:firstLine="480" w:firstLineChars="20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.2推荐三名成交候选供应商，提交评审报告，</w:t>
      </w:r>
      <w:r>
        <w:rPr>
          <w:rFonts w:hint="eastAsia" w:asciiTheme="minorEastAsia" w:hAnsiTheme="minorEastAsia" w:eastAsiaTheme="minorEastAsia" w:cstheme="minorEastAsia"/>
          <w:sz w:val="24"/>
          <w:szCs w:val="24"/>
          <w:highlight w:val="none"/>
          <w:lang w:val="en-US" w:eastAsia="zh-CN"/>
        </w:rPr>
        <w:t>直接确定第一</w:t>
      </w:r>
      <w:r>
        <w:rPr>
          <w:rFonts w:hint="eastAsia" w:asciiTheme="minorEastAsia" w:hAnsiTheme="minorEastAsia" w:eastAsiaTheme="minorEastAsia" w:cstheme="minorEastAsia"/>
          <w:sz w:val="24"/>
          <w:szCs w:val="24"/>
          <w:highlight w:val="none"/>
        </w:rPr>
        <w:t>成交候选供应商</w:t>
      </w:r>
      <w:r>
        <w:rPr>
          <w:rFonts w:hint="eastAsia" w:asciiTheme="minorEastAsia" w:hAnsiTheme="minorEastAsia" w:eastAsiaTheme="minorEastAsia" w:cstheme="minorEastAsia"/>
          <w:sz w:val="24"/>
          <w:szCs w:val="24"/>
          <w:highlight w:val="none"/>
          <w:lang w:val="en-US" w:eastAsia="zh-CN"/>
        </w:rPr>
        <w:t>为成交供应商</w:t>
      </w:r>
      <w:r>
        <w:rPr>
          <w:rFonts w:hint="eastAsia" w:asciiTheme="minorEastAsia" w:hAnsiTheme="minorEastAsia" w:eastAsiaTheme="minorEastAsia" w:cstheme="minorEastAsia"/>
          <w:sz w:val="24"/>
          <w:szCs w:val="24"/>
          <w:highlight w:val="none"/>
        </w:rPr>
        <w:t>。</w:t>
      </w:r>
    </w:p>
    <w:p>
      <w:pPr>
        <w:pStyle w:val="17"/>
        <w:spacing w:line="480" w:lineRule="exact"/>
        <w:ind w:firstLine="48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12、磋商小组人员组成</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磋商小组由采购人代表和评审专家组成，</w:t>
      </w:r>
      <w:r>
        <w:rPr>
          <w:rFonts w:hint="eastAsia" w:asciiTheme="minorEastAsia" w:hAnsiTheme="minorEastAsia" w:eastAsiaTheme="minorEastAsia" w:cstheme="minorEastAsia"/>
          <w:sz w:val="24"/>
          <w:szCs w:val="24"/>
          <w:highlight w:val="none"/>
        </w:rPr>
        <w:t>采购人代表不得担任磋商小组组长。</w:t>
      </w:r>
    </w:p>
    <w:p>
      <w:pPr>
        <w:pStyle w:val="17"/>
        <w:spacing w:line="480" w:lineRule="exact"/>
        <w:ind w:firstLine="48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13、磋商评审纪律</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13.1磋商小组成员内部讨论的情况和意见必须保密，任何人不得以任何形式透露给供应商或与供应商有关的单位或个人。</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13.2在磋商过程中，供应商不得以任何形式对磋商小组成员进行旨在影响磋商结果的私下接触，否则取消其磋商资格。</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13.3磋商小组以及与磋商有关的人员应当对评审情况和评审过程中获悉的国家秘密、商业秘密予以保密。</w:t>
      </w:r>
    </w:p>
    <w:p>
      <w:pPr>
        <w:pStyle w:val="17"/>
        <w:spacing w:line="480" w:lineRule="exact"/>
        <w:ind w:firstLine="48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14、无效响应文件情况说明</w:t>
      </w:r>
    </w:p>
    <w:p>
      <w:pPr>
        <w:pStyle w:val="17"/>
        <w:spacing w:line="48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响应文件有下列情形之一的，应当按照无效响应文件处理：</w:t>
      </w:r>
    </w:p>
    <w:p>
      <w:pPr>
        <w:pStyle w:val="17"/>
        <w:spacing w:line="48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.1未按本项目规定的获取方式获取采购文件的；</w:t>
      </w:r>
    </w:p>
    <w:p>
      <w:pPr>
        <w:pStyle w:val="17"/>
        <w:spacing w:line="48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未经法定代表人或其授权委托人签字或盖章，未加盖供应商公章；</w:t>
      </w:r>
    </w:p>
    <w:p>
      <w:pPr>
        <w:pStyle w:val="17"/>
        <w:spacing w:line="48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未按磋商文件要求密封、签署、盖章的；</w:t>
      </w:r>
    </w:p>
    <w:p>
      <w:pPr>
        <w:pStyle w:val="17"/>
        <w:spacing w:line="48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14.4</w:t>
      </w:r>
      <w:r>
        <w:rPr>
          <w:rFonts w:hint="eastAsia" w:asciiTheme="minorEastAsia" w:hAnsiTheme="minorEastAsia" w:eastAsiaTheme="minorEastAsia" w:cstheme="minorEastAsia"/>
          <w:sz w:val="24"/>
          <w:szCs w:val="24"/>
          <w:highlight w:val="none"/>
        </w:rPr>
        <w:t>不具备磋商文件中规定的资格要求的；</w:t>
      </w:r>
    </w:p>
    <w:p>
      <w:pPr>
        <w:pStyle w:val="17"/>
        <w:spacing w:line="48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14.5报价高于控制</w:t>
      </w:r>
      <w:r>
        <w:rPr>
          <w:rFonts w:hint="eastAsia" w:asciiTheme="minorEastAsia" w:hAnsiTheme="minorEastAsia" w:eastAsiaTheme="minorEastAsia" w:cstheme="minorEastAsia"/>
          <w:sz w:val="24"/>
          <w:szCs w:val="24"/>
          <w:highlight w:val="none"/>
          <w:lang w:val="en-US" w:eastAsia="zh-CN"/>
        </w:rPr>
        <w:t>费率</w:t>
      </w:r>
      <w:r>
        <w:rPr>
          <w:rFonts w:hint="eastAsia" w:asciiTheme="minorEastAsia" w:hAnsiTheme="minorEastAsia" w:eastAsiaTheme="minorEastAsia" w:cstheme="minorEastAsia"/>
          <w:sz w:val="24"/>
          <w:szCs w:val="24"/>
          <w:highlight w:val="none"/>
        </w:rPr>
        <w:t>的；</w:t>
      </w:r>
    </w:p>
    <w:p>
      <w:pPr>
        <w:pStyle w:val="17"/>
        <w:spacing w:line="48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14.6未全部响应磋商文件规定的实质性要求的；</w:t>
      </w:r>
    </w:p>
    <w:p>
      <w:pPr>
        <w:pStyle w:val="17"/>
        <w:spacing w:line="48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14.7响应文件附有采购人不能接受的条款，如服务期限、付款方式等；</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14.8法律、法规以及磋商文件明确规定的其它无效的情况。</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15、对响应文件的修正</w:t>
      </w:r>
    </w:p>
    <w:p>
      <w:pPr>
        <w:pStyle w:val="17"/>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响应文件报价出现前后不一致的，按照下列规定修正：</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15.1报价</w:t>
      </w:r>
      <w:r>
        <w:rPr>
          <w:rFonts w:hint="eastAsia" w:asciiTheme="minorEastAsia" w:hAnsiTheme="minorEastAsia" w:eastAsiaTheme="minorEastAsia" w:cstheme="minorEastAsia"/>
          <w:sz w:val="24"/>
          <w:szCs w:val="24"/>
          <w:highlight w:val="none"/>
        </w:rPr>
        <w:t>一览表内容与响应文件中相应内容不一致的，以报价一览表为准；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15.2</w:t>
      </w:r>
      <w:r>
        <w:rPr>
          <w:rFonts w:hint="eastAsia" w:asciiTheme="minorEastAsia" w:hAnsiTheme="minorEastAsia" w:eastAsiaTheme="minorEastAsia" w:cstheme="minorEastAsia"/>
          <w:sz w:val="24"/>
          <w:szCs w:val="24"/>
          <w:highlight w:val="none"/>
        </w:rPr>
        <w:t>大写金额和小写金额不一致的，以大写金额为准；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15.3</w:t>
      </w:r>
      <w:r>
        <w:rPr>
          <w:rFonts w:hint="eastAsia" w:asciiTheme="minorEastAsia" w:hAnsiTheme="minorEastAsia" w:eastAsiaTheme="minorEastAsia" w:cstheme="minorEastAsia"/>
          <w:sz w:val="24"/>
          <w:szCs w:val="24"/>
          <w:highlight w:val="none"/>
        </w:rPr>
        <w:t>单价金额小数点或者百分比有明显错位的，以报价一览表的总价为准，并修改单价；</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15.4</w:t>
      </w:r>
      <w:r>
        <w:rPr>
          <w:rFonts w:hint="eastAsia" w:asciiTheme="minorEastAsia" w:hAnsiTheme="minorEastAsia" w:eastAsiaTheme="minorEastAsia" w:cstheme="minorEastAsia"/>
          <w:sz w:val="24"/>
          <w:szCs w:val="24"/>
          <w:highlight w:val="none"/>
        </w:rPr>
        <w:t>总价金额与按单价汇总金额不一致的，以单价金额计算结果为准。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15.5</w:t>
      </w:r>
      <w:r>
        <w:rPr>
          <w:rFonts w:hint="eastAsia" w:asciiTheme="minorEastAsia" w:hAnsiTheme="minorEastAsia" w:eastAsiaTheme="minorEastAsia" w:cstheme="minorEastAsia"/>
          <w:sz w:val="24"/>
          <w:szCs w:val="24"/>
          <w:highlight w:val="none"/>
        </w:rPr>
        <w:t>同时出现两种以上不一致的，按照前款规定的顺序修正。修正后的报价经供应商确认后产生约束力，供应商不确认的，其响应无效。</w:t>
      </w:r>
    </w:p>
    <w:p>
      <w:pPr>
        <w:pStyle w:val="17"/>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15.6</w:t>
      </w:r>
      <w:r>
        <w:rPr>
          <w:rFonts w:hint="eastAsia" w:asciiTheme="minorEastAsia" w:hAnsiTheme="minorEastAsia" w:eastAsiaTheme="minorEastAsia" w:cstheme="minorEastAsia"/>
          <w:sz w:val="24"/>
          <w:szCs w:val="24"/>
          <w:highlight w:val="none"/>
        </w:rPr>
        <w:t>按照总价修改单价时，组成报价的各单项报价按照与总价相同的比例同比例调整（四舍五入，保留2位小数），如果供应商不接受此调整，其响应无效。</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6</w:t>
      </w:r>
      <w:r>
        <w:rPr>
          <w:rFonts w:hint="eastAsia" w:asciiTheme="minorEastAsia" w:hAnsiTheme="minorEastAsia" w:cstheme="minorEastAsia"/>
          <w:sz w:val="24"/>
          <w:highlight w:val="none"/>
        </w:rPr>
        <w:t>.质疑</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6</w:t>
      </w:r>
      <w:r>
        <w:rPr>
          <w:rFonts w:hint="eastAsia" w:asciiTheme="minorEastAsia" w:hAnsiTheme="minorEastAsia" w:cstheme="minorEastAsia"/>
          <w:sz w:val="24"/>
          <w:highlight w:val="none"/>
        </w:rPr>
        <w:t>.1供应商认为磋商文件、采购过程、成交结果使自己的权益受到损害的，可以在知道或者应知其权益受到损害之日起7个工作日内，以书面形式向采购人、采购代理机构提出质疑。</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6</w:t>
      </w:r>
      <w:r>
        <w:rPr>
          <w:rFonts w:hint="eastAsia" w:asciiTheme="minorEastAsia" w:hAnsiTheme="minorEastAsia" w:cstheme="minorEastAsia"/>
          <w:sz w:val="24"/>
          <w:highlight w:val="none"/>
        </w:rPr>
        <w:t>.2质疑供应商对采购人、采购代理机构的答复不满意，或者采购人、采购代理机构未在规定时间内作出答复的，可以在答复期满后15个工作日内向本级财政部门提起投诉。</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6</w:t>
      </w:r>
      <w:r>
        <w:rPr>
          <w:rFonts w:hint="eastAsia" w:asciiTheme="minorEastAsia" w:hAnsiTheme="minorEastAsia" w:cstheme="minorEastAsia"/>
          <w:sz w:val="24"/>
          <w:highlight w:val="none"/>
        </w:rPr>
        <w:t>.3本项目供应商应当在法定质疑期内一次性提出针对同一采购程序环节的质疑。</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6</w:t>
      </w:r>
      <w:r>
        <w:rPr>
          <w:rFonts w:hint="eastAsia" w:asciiTheme="minorEastAsia" w:hAnsiTheme="minorEastAsia" w:cstheme="minorEastAsia"/>
          <w:sz w:val="24"/>
          <w:highlight w:val="none"/>
        </w:rPr>
        <w:t>.4本项目接收质疑函的方式：书面递交质疑函纸质原件（不接受电报、电传、传真、电子数据交换、电子邮件等数据电文方式）；联系部门：①采购人：临朐沂山实业有限公司</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联系电话：0536-3357558；通讯地址：临朐县城龙泉路60号；②采购代理公司：</w:t>
      </w:r>
      <w:r>
        <w:rPr>
          <w:rFonts w:hint="eastAsia" w:asciiTheme="minorEastAsia" w:hAnsiTheme="minorEastAsia" w:cstheme="minorEastAsia"/>
          <w:sz w:val="24"/>
          <w:highlight w:val="none"/>
          <w:lang w:eastAsia="zh-CN"/>
        </w:rPr>
        <w:t>天佑德建设咨询有限公司</w:t>
      </w:r>
      <w:r>
        <w:rPr>
          <w:rFonts w:hint="eastAsia" w:asciiTheme="minorEastAsia" w:hAnsiTheme="minorEastAsia" w:cstheme="minorEastAsia"/>
          <w:sz w:val="24"/>
          <w:highlight w:val="none"/>
        </w:rPr>
        <w:t>；联系电话：13395366427；通讯地址：潍坊市高新区世界之窗14楼招标咨询事业部。</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6</w:t>
      </w:r>
      <w:r>
        <w:rPr>
          <w:rFonts w:hint="eastAsia" w:asciiTheme="minorEastAsia" w:hAnsiTheme="minorEastAsia" w:cstheme="minorEastAsia"/>
          <w:sz w:val="24"/>
          <w:highlight w:val="none"/>
        </w:rPr>
        <w:t>.5供应商提出质疑应当递交质疑函和必要的证明材料。质疑函应当包括下列内容：</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（1）供应商的姓名或者名称、地址、邮编、联系人及联系电话；</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（2）质疑项目的名称、编号；</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（3）具体、明确的质疑事项和与质疑事项相关的请求；</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（4）事实依据；</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（5）必要的法律依据；</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（6）提出质疑的日期。</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为自然人的，应当由本人签字；供应商为法人或者其他组织的，应当由法定代表人、主要负责人，或者其授权代表签字或者盖章，并加盖公章（授权委托书应当载明委托人的项目或者名称、代理事项、具体权限、期限和相关事项）。</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6</w:t>
      </w:r>
      <w:r>
        <w:rPr>
          <w:rFonts w:hint="eastAsia" w:asciiTheme="minorEastAsia" w:hAnsiTheme="minorEastAsia" w:cstheme="minorEastAsia"/>
          <w:sz w:val="24"/>
          <w:highlight w:val="none"/>
        </w:rPr>
        <w:t>.6质疑函应当使用中文。质疑函的内容，应当按照财政部制定的范本递交。</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7</w:t>
      </w:r>
      <w:r>
        <w:rPr>
          <w:rFonts w:hint="eastAsia" w:asciiTheme="minorEastAsia" w:hAnsiTheme="minorEastAsia" w:cstheme="minorEastAsia"/>
          <w:sz w:val="24"/>
          <w:highlight w:val="none"/>
        </w:rPr>
        <w:t xml:space="preserve">.合同授予 </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7</w:t>
      </w:r>
      <w:r>
        <w:rPr>
          <w:rFonts w:hint="eastAsia" w:asciiTheme="minorEastAsia" w:hAnsiTheme="minorEastAsia" w:cstheme="minorEastAsia"/>
          <w:sz w:val="24"/>
          <w:highlight w:val="none"/>
        </w:rPr>
        <w:t>.1磋商文件、响应文件及磋商过程中有关补充文件等均作为合同附件，并与合同具有相同的法律效力。</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7</w:t>
      </w:r>
      <w:r>
        <w:rPr>
          <w:rFonts w:hint="eastAsia" w:asciiTheme="minorEastAsia" w:hAnsiTheme="minorEastAsia" w:cstheme="minorEastAsia"/>
          <w:sz w:val="24"/>
          <w:highlight w:val="none"/>
        </w:rPr>
        <w:t>.2成交供应商应当按照合同履行义务，完成成交项目。未经采购人同意，成交供应商不得向他人转让成交项目。</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7</w:t>
      </w:r>
      <w:r>
        <w:rPr>
          <w:rFonts w:hint="eastAsia" w:asciiTheme="minorEastAsia" w:hAnsiTheme="minorEastAsia" w:cstheme="minorEastAsia"/>
          <w:sz w:val="24"/>
          <w:highlight w:val="none"/>
        </w:rPr>
        <w:t>.3本项目磋商有效期为90日历天。</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8</w:t>
      </w:r>
      <w:r>
        <w:rPr>
          <w:rFonts w:hint="eastAsia" w:asciiTheme="minorEastAsia" w:hAnsiTheme="minorEastAsia" w:cstheme="minorEastAsia"/>
          <w:sz w:val="24"/>
          <w:highlight w:val="none"/>
        </w:rPr>
        <w:t>.签订合同</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8</w:t>
      </w:r>
      <w:r>
        <w:rPr>
          <w:rFonts w:hint="eastAsia" w:asciiTheme="minorEastAsia" w:hAnsiTheme="minorEastAsia" w:cstheme="minorEastAsia"/>
          <w:sz w:val="24"/>
          <w:highlight w:val="none"/>
        </w:rPr>
        <w:t>.1成交供应商应按成交通知书中规定的时间、地点与采购人签订合同，否则按违约处理，并承担相应责任。</w:t>
      </w:r>
    </w:p>
    <w:p>
      <w:pPr>
        <w:pStyle w:val="17"/>
        <w:spacing w:line="480" w:lineRule="exact"/>
        <w:ind w:firstLine="48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8</w:t>
      </w:r>
      <w:r>
        <w:rPr>
          <w:rFonts w:hint="eastAsia" w:asciiTheme="minorEastAsia" w:hAnsiTheme="minorEastAsia" w:cstheme="minorEastAsia"/>
          <w:sz w:val="24"/>
          <w:highlight w:val="none"/>
        </w:rPr>
        <w:t>.2成交供应商如不按本磋商文件规定与采购人签订合同，则采购人将废除其成交资格，给采购人造成损失的，还应当予以赔偿，同时依法承担相应的法律责任。</w:t>
      </w:r>
    </w:p>
    <w:p>
      <w:pPr>
        <w:pStyle w:val="17"/>
        <w:spacing w:line="480" w:lineRule="exact"/>
        <w:ind w:firstLine="480"/>
        <w:rPr>
          <w:rFonts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8</w:t>
      </w:r>
      <w:r>
        <w:rPr>
          <w:rFonts w:hint="eastAsia" w:asciiTheme="minorEastAsia" w:hAnsiTheme="minorEastAsia" w:cstheme="minorEastAsia"/>
          <w:sz w:val="24"/>
          <w:highlight w:val="none"/>
        </w:rPr>
        <w:t>.3成交供应商应当按照合同约定履行义务，完成磋商项目，不得将成交项目转让（转包）给他人。</w:t>
      </w:r>
    </w:p>
    <w:p>
      <w:pPr>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br w:type="page"/>
      </w:r>
    </w:p>
    <w:p>
      <w:pPr>
        <w:pStyle w:val="2"/>
        <w:spacing w:line="520" w:lineRule="exact"/>
        <w:jc w:val="center"/>
        <w:rPr>
          <w:rFonts w:asciiTheme="majorEastAsia" w:hAnsiTheme="majorEastAsia" w:eastAsiaTheme="majorEastAsia" w:cstheme="majorEastAsia"/>
          <w:sz w:val="32"/>
          <w:szCs w:val="32"/>
          <w:highlight w:val="none"/>
        </w:rPr>
      </w:pPr>
      <w:bookmarkStart w:id="15" w:name="_Toc10631"/>
      <w:r>
        <w:rPr>
          <w:rFonts w:hint="eastAsia" w:asciiTheme="majorEastAsia" w:hAnsiTheme="majorEastAsia" w:eastAsiaTheme="majorEastAsia" w:cstheme="majorEastAsia"/>
          <w:sz w:val="32"/>
          <w:szCs w:val="32"/>
          <w:highlight w:val="none"/>
        </w:rPr>
        <w:t>第</w:t>
      </w:r>
      <w:r>
        <w:rPr>
          <w:rFonts w:hint="eastAsia" w:asciiTheme="majorEastAsia" w:hAnsiTheme="majorEastAsia" w:eastAsiaTheme="majorEastAsia" w:cstheme="majorEastAsia"/>
          <w:sz w:val="32"/>
          <w:szCs w:val="32"/>
          <w:highlight w:val="none"/>
          <w:lang w:val="en-US" w:eastAsia="zh-CN"/>
        </w:rPr>
        <w:t>三</w:t>
      </w:r>
      <w:r>
        <w:rPr>
          <w:rFonts w:hint="eastAsia" w:asciiTheme="majorEastAsia" w:hAnsiTheme="majorEastAsia" w:eastAsiaTheme="majorEastAsia" w:cstheme="majorEastAsia"/>
          <w:sz w:val="32"/>
          <w:szCs w:val="32"/>
          <w:highlight w:val="none"/>
        </w:rPr>
        <w:t>章 项目内容及要求</w:t>
      </w:r>
      <w:bookmarkEnd w:id="15"/>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一、项目概况</w:t>
      </w:r>
    </w:p>
    <w:p>
      <w:pPr>
        <w:pStyle w:val="17"/>
        <w:spacing w:line="480" w:lineRule="exact"/>
        <w:ind w:firstLine="480"/>
        <w:rPr>
          <w:rFonts w:hint="eastAsia" w:eastAsia="宋体" w:asciiTheme="minorEastAsia" w:hAnsiTheme="minorEastAsia" w:cstheme="minorEastAsia"/>
          <w:sz w:val="24"/>
          <w:highlight w:val="none"/>
          <w:lang w:val="en-US" w:eastAsia="zh-CN"/>
        </w:rPr>
      </w:pPr>
      <w:r>
        <w:rPr>
          <w:rFonts w:hint="eastAsia" w:eastAsia="宋体" w:asciiTheme="minorEastAsia" w:hAnsiTheme="minorEastAsia" w:cstheme="minorEastAsia"/>
          <w:sz w:val="24"/>
          <w:highlight w:val="none"/>
          <w:lang w:val="en-US" w:eastAsia="zh-CN"/>
        </w:rPr>
        <w:t>本项目为临朐县营龙片区、南环片区、弥河片区一期棚户区改造项目外墙传热系数检测项目，通过实际检测，验证受检建筑围护结构主体各部位的传热系数是否符合设计标准限值的要求。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color w:val="auto"/>
          <w:kern w:val="0"/>
          <w:sz w:val="24"/>
          <w:szCs w:val="28"/>
          <w:highlight w:val="none"/>
          <w:lang w:eastAsia="zh-CN"/>
        </w:rPr>
      </w:pPr>
      <w:r>
        <w:rPr>
          <w:rFonts w:hint="eastAsia" w:ascii="宋体" w:hAnsi="宋体" w:eastAsia="宋体" w:cs="宋体"/>
          <w:b/>
          <w:color w:val="auto"/>
          <w:kern w:val="0"/>
          <w:sz w:val="24"/>
          <w:szCs w:val="28"/>
          <w:highlight w:val="none"/>
          <w:lang w:val="en-US" w:eastAsia="zh-CN"/>
        </w:rPr>
        <w:t>二</w:t>
      </w:r>
      <w:r>
        <w:rPr>
          <w:rFonts w:hint="eastAsia" w:ascii="宋体" w:hAnsi="宋体" w:eastAsia="宋体" w:cs="宋体"/>
          <w:b/>
          <w:color w:val="auto"/>
          <w:kern w:val="0"/>
          <w:sz w:val="24"/>
          <w:szCs w:val="28"/>
          <w:highlight w:val="none"/>
        </w:rPr>
        <w:t>、</w:t>
      </w:r>
      <w:r>
        <w:rPr>
          <w:rFonts w:hint="eastAsia" w:ascii="宋体" w:hAnsi="宋体" w:eastAsia="宋体" w:cs="宋体"/>
          <w:b/>
          <w:color w:val="auto"/>
          <w:kern w:val="0"/>
          <w:sz w:val="24"/>
          <w:szCs w:val="28"/>
          <w:highlight w:val="none"/>
          <w:lang w:val="en-US" w:eastAsia="zh-CN"/>
        </w:rPr>
        <w:t>项目要求</w:t>
      </w:r>
    </w:p>
    <w:p>
      <w:pPr>
        <w:tabs>
          <w:tab w:val="center" w:pos="5181"/>
        </w:tabs>
        <w:adjustRightInd w:val="0"/>
        <w:snapToGrid w:val="0"/>
        <w:spacing w:line="480" w:lineRule="exact"/>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1、检测数量：</w:t>
      </w:r>
    </w:p>
    <w:p>
      <w:pPr>
        <w:tabs>
          <w:tab w:val="center" w:pos="5181"/>
        </w:tabs>
        <w:adjustRightInd w:val="0"/>
        <w:snapToGrid w:val="0"/>
        <w:spacing w:line="480" w:lineRule="exact"/>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营龙片区、南环片区、弥河片区一期棚户区改造项目中随机抽样检测具有相同外围护结构做法的建筑物，抽测数量为总幢号数的20%。不同建筑外围护结构做法应分别抽样检测。</w:t>
      </w:r>
    </w:p>
    <w:p>
      <w:pPr>
        <w:pStyle w:val="37"/>
        <w:numPr>
          <w:ilvl w:val="0"/>
          <w:numId w:val="2"/>
        </w:numPr>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技术要求：</w:t>
      </w:r>
    </w:p>
    <w:p>
      <w:pPr>
        <w:tabs>
          <w:tab w:val="center" w:pos="5181"/>
        </w:tabs>
        <w:adjustRightInd w:val="0"/>
        <w:snapToGrid w:val="0"/>
        <w:spacing w:line="480" w:lineRule="exact"/>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按照设计文件和《居住建筑节能检测标准》采用热流计法现场检测，采用标准《建筑节能检测技术规范》DB37/T724-2007。</w:t>
      </w:r>
    </w:p>
    <w:p>
      <w:pPr>
        <w:pStyle w:val="37"/>
        <w:numPr>
          <w:ilvl w:val="0"/>
          <w:numId w:val="2"/>
        </w:numPr>
        <w:ind w:left="0" w:leftChars="0" w:firstLine="482" w:firstLineChars="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检测周期：</w:t>
      </w:r>
    </w:p>
    <w:p>
      <w:pPr>
        <w:tabs>
          <w:tab w:val="center" w:pos="5181"/>
        </w:tabs>
        <w:adjustRightInd w:val="0"/>
        <w:snapToGrid w:val="0"/>
        <w:spacing w:line="480" w:lineRule="exact"/>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单个工程项目具备检测条件后，建设单位提前2天通知检测单位，20天内检测完成并出具报告。</w:t>
      </w:r>
    </w:p>
    <w:p>
      <w:pPr>
        <w:pStyle w:val="37"/>
        <w:numPr>
          <w:ilvl w:val="0"/>
          <w:numId w:val="2"/>
        </w:numPr>
        <w:ind w:left="0" w:leftChars="0" w:firstLine="482" w:firstLineChars="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报告质量：</w:t>
      </w:r>
    </w:p>
    <w:p>
      <w:pPr>
        <w:tabs>
          <w:tab w:val="center" w:pos="5181"/>
        </w:tabs>
        <w:adjustRightInd w:val="0"/>
        <w:snapToGrid w:val="0"/>
        <w:spacing w:line="480" w:lineRule="exact"/>
        <w:ind w:firstLine="480" w:firstLineChars="200"/>
        <w:outlineLvl w:val="9"/>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检测报告质量满足设计和规范要求。若不满足竣工验收的要求，由检测单位重新检测并承担由此造成的相关损失。</w:t>
      </w:r>
    </w:p>
    <w:p>
      <w:pPr>
        <w:rPr>
          <w:rFonts w:hint="eastAsia" w:asciiTheme="majorEastAsia" w:hAnsiTheme="majorEastAsia" w:eastAsiaTheme="majorEastAsia" w:cstheme="majorEastAsia"/>
          <w:sz w:val="32"/>
          <w:szCs w:val="32"/>
          <w:highlight w:val="none"/>
        </w:rPr>
      </w:pPr>
      <w:bookmarkStart w:id="16" w:name="_Toc1040"/>
      <w:r>
        <w:rPr>
          <w:rFonts w:hint="eastAsia" w:asciiTheme="majorEastAsia" w:hAnsiTheme="majorEastAsia" w:eastAsiaTheme="majorEastAsia" w:cstheme="majorEastAsia"/>
          <w:sz w:val="32"/>
          <w:szCs w:val="32"/>
          <w:highlight w:val="none"/>
        </w:rPr>
        <w:br w:type="page"/>
      </w:r>
    </w:p>
    <w:p>
      <w:pPr>
        <w:pStyle w:val="2"/>
        <w:spacing w:line="520" w:lineRule="exact"/>
        <w:jc w:val="center"/>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第</w:t>
      </w:r>
      <w:r>
        <w:rPr>
          <w:rFonts w:hint="eastAsia" w:asciiTheme="majorEastAsia" w:hAnsiTheme="majorEastAsia" w:eastAsiaTheme="majorEastAsia" w:cstheme="majorEastAsia"/>
          <w:sz w:val="32"/>
          <w:szCs w:val="32"/>
          <w:highlight w:val="none"/>
          <w:lang w:val="en-US" w:eastAsia="zh-CN"/>
        </w:rPr>
        <w:t>四</w:t>
      </w:r>
      <w:r>
        <w:rPr>
          <w:rFonts w:hint="eastAsia" w:asciiTheme="majorEastAsia" w:hAnsiTheme="majorEastAsia" w:eastAsiaTheme="majorEastAsia" w:cstheme="majorEastAsia"/>
          <w:sz w:val="32"/>
          <w:szCs w:val="32"/>
          <w:highlight w:val="none"/>
        </w:rPr>
        <w:t>章 合同主要条款</w:t>
      </w:r>
      <w:bookmarkEnd w:id="16"/>
    </w:p>
    <w:p>
      <w:pPr>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eastAsia" w:ascii="宋体" w:hAnsi="宋体" w:eastAsia="宋体" w:cs="宋体"/>
          <w:b w:val="0"/>
          <w:bCs w:val="0"/>
          <w:color w:val="auto"/>
          <w:sz w:val="24"/>
          <w:highlight w:val="none"/>
          <w:u w:val="none"/>
          <w:lang w:val="en-US" w:eastAsia="zh-CN"/>
        </w:rPr>
      </w:pPr>
      <w:r>
        <w:rPr>
          <w:rFonts w:hint="eastAsia" w:cs="宋体"/>
          <w:b w:val="0"/>
          <w:bCs w:val="0"/>
          <w:color w:val="auto"/>
          <w:sz w:val="24"/>
          <w:highlight w:val="none"/>
          <w:u w:val="none"/>
          <w:lang w:val="en-US" w:eastAsia="zh-CN"/>
        </w:rPr>
        <w:t>甲方</w:t>
      </w:r>
      <w:r>
        <w:rPr>
          <w:rFonts w:hint="eastAsia" w:ascii="宋体" w:hAnsi="宋体" w:eastAsia="宋体" w:cs="宋体"/>
          <w:b w:val="0"/>
          <w:bCs w:val="0"/>
          <w:color w:val="auto"/>
          <w:sz w:val="24"/>
          <w:highlight w:val="none"/>
          <w:u w:val="none"/>
          <w:lang w:val="en-US" w:eastAsia="zh-CN"/>
        </w:rPr>
        <w:t>：</w:t>
      </w:r>
      <w:r>
        <w:rPr>
          <w:rFonts w:hint="eastAsia" w:cs="宋体"/>
          <w:b w:val="0"/>
          <w:bCs w:val="0"/>
          <w:color w:val="auto"/>
          <w:sz w:val="24"/>
          <w:highlight w:val="none"/>
          <w:u w:val="single"/>
          <w:lang w:val="en-US" w:eastAsia="zh-CN"/>
        </w:rPr>
        <w:t>临朐沂山实业有限公司</w:t>
      </w:r>
      <w:r>
        <w:rPr>
          <w:rFonts w:hint="eastAsia" w:ascii="宋体" w:hAnsi="宋体" w:eastAsia="宋体" w:cs="宋体"/>
          <w:b w:val="0"/>
          <w:bCs w:val="0"/>
          <w:color w:val="auto"/>
          <w:sz w:val="24"/>
          <w:highlight w:val="none"/>
          <w:u w:val="none"/>
          <w:lang w:val="en-US" w:eastAsia="zh-CN"/>
        </w:rPr>
        <w:t>（以下简称甲方）</w:t>
      </w:r>
    </w:p>
    <w:p>
      <w:pPr>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eastAsia" w:ascii="宋体" w:hAnsi="宋体" w:eastAsia="宋体" w:cs="宋体"/>
          <w:szCs w:val="24"/>
          <w:highlight w:val="none"/>
        </w:rPr>
      </w:pPr>
      <w:r>
        <w:rPr>
          <w:rFonts w:hint="eastAsia" w:cs="宋体"/>
          <w:b w:val="0"/>
          <w:bCs w:val="0"/>
          <w:color w:val="auto"/>
          <w:sz w:val="24"/>
          <w:highlight w:val="none"/>
          <w:u w:val="none"/>
          <w:lang w:val="en-US" w:eastAsia="zh-CN"/>
        </w:rPr>
        <w:t>乙方</w:t>
      </w:r>
      <w:r>
        <w:rPr>
          <w:rFonts w:hint="eastAsia" w:ascii="宋体" w:hAnsi="宋体" w:eastAsia="宋体" w:cs="宋体"/>
          <w:b w:val="0"/>
          <w:bCs w:val="0"/>
          <w:color w:val="auto"/>
          <w:sz w:val="24"/>
          <w:highlight w:val="none"/>
          <w:u w:val="none"/>
          <w:lang w:val="en-US" w:eastAsia="zh-CN"/>
        </w:rPr>
        <w:t>：</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（以下简称乙方）</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color w:val="000000"/>
          <w:highlight w:val="none"/>
        </w:rPr>
        <w:t>根据《中华人民共和国</w:t>
      </w:r>
      <w:r>
        <w:rPr>
          <w:rFonts w:hint="eastAsia" w:ascii="宋体" w:hAnsi="宋体" w:eastAsia="宋体" w:cs="宋体"/>
          <w:color w:val="000000"/>
          <w:highlight w:val="none"/>
          <w:lang w:val="en-US" w:eastAsia="zh-CN"/>
        </w:rPr>
        <w:t>民法典</w:t>
      </w:r>
      <w:r>
        <w:rPr>
          <w:rFonts w:hint="eastAsia" w:ascii="宋体" w:hAnsi="宋体" w:eastAsia="宋体" w:cs="宋体"/>
          <w:color w:val="000000"/>
          <w:highlight w:val="none"/>
        </w:rPr>
        <w:t>》及相关法规，本着平等互利友好协商的原则，经过双方协商一致，签订本合同。</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b/>
          <w:bCs/>
          <w:sz w:val="24"/>
          <w:szCs w:val="24"/>
          <w:highlight w:val="none"/>
        </w:rPr>
      </w:pPr>
      <w:r>
        <w:rPr>
          <w:rFonts w:hint="eastAsia" w:ascii="宋体" w:hAnsi="宋体" w:eastAsia="宋体" w:cs="宋体"/>
          <w:b/>
          <w:bCs/>
          <w:szCs w:val="24"/>
          <w:highlight w:val="none"/>
        </w:rPr>
        <w:t xml:space="preserve">第一条 </w:t>
      </w:r>
      <w:r>
        <w:rPr>
          <w:rFonts w:hint="eastAsia"/>
          <w:b/>
          <w:bCs/>
          <w:sz w:val="24"/>
          <w:szCs w:val="24"/>
          <w:highlight w:val="none"/>
        </w:rPr>
        <w:t>组成本合同的文件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1.合同协议书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2.</w:t>
      </w:r>
      <w:r>
        <w:rPr>
          <w:rFonts w:hint="eastAsia"/>
          <w:sz w:val="24"/>
          <w:szCs w:val="24"/>
          <w:highlight w:val="none"/>
          <w:lang w:val="en-US" w:eastAsia="zh-CN"/>
        </w:rPr>
        <w:t>成交</w:t>
      </w:r>
      <w:r>
        <w:rPr>
          <w:rFonts w:hint="eastAsia"/>
          <w:sz w:val="24"/>
          <w:szCs w:val="24"/>
          <w:highlight w:val="none"/>
        </w:rPr>
        <w:t>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3.</w:t>
      </w:r>
      <w:r>
        <w:rPr>
          <w:rFonts w:hint="eastAsia"/>
          <w:sz w:val="24"/>
          <w:szCs w:val="24"/>
          <w:highlight w:val="none"/>
          <w:lang w:val="en-US" w:eastAsia="zh-CN"/>
        </w:rPr>
        <w:t>响应</w:t>
      </w:r>
      <w:r>
        <w:rPr>
          <w:rFonts w:hint="eastAsia"/>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4.</w:t>
      </w:r>
      <w:r>
        <w:rPr>
          <w:rFonts w:hint="eastAsia"/>
          <w:sz w:val="24"/>
          <w:szCs w:val="24"/>
          <w:highlight w:val="none"/>
          <w:lang w:val="en-US" w:eastAsia="zh-CN"/>
        </w:rPr>
        <w:t>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本合同签订后，双方依法签订的补充协议也是本合同文件的组成部分。</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eastAsia" w:ascii="宋体" w:hAnsi="宋体" w:eastAsia="宋体" w:cs="宋体"/>
          <w:b/>
          <w:bCs/>
          <w:szCs w:val="24"/>
          <w:highlight w:val="none"/>
        </w:rPr>
      </w:pPr>
      <w:r>
        <w:rPr>
          <w:rFonts w:hint="eastAsia" w:ascii="宋体" w:hAnsi="宋体" w:eastAsia="宋体" w:cs="宋体"/>
          <w:b/>
          <w:bCs/>
          <w:szCs w:val="24"/>
          <w:highlight w:val="none"/>
        </w:rPr>
        <w:t xml:space="preserve">第二条 </w:t>
      </w:r>
      <w:r>
        <w:rPr>
          <w:rFonts w:hint="eastAsia" w:cs="宋体"/>
          <w:b/>
          <w:bCs/>
          <w:szCs w:val="24"/>
          <w:highlight w:val="none"/>
          <w:lang w:val="en-US" w:eastAsia="zh-CN"/>
        </w:rPr>
        <w:t>服务</w:t>
      </w:r>
      <w:r>
        <w:rPr>
          <w:rFonts w:hint="eastAsia" w:ascii="宋体" w:hAnsi="宋体" w:eastAsia="宋体" w:cs="宋体"/>
          <w:b/>
          <w:bCs/>
          <w:szCs w:val="24"/>
          <w:highlight w:val="none"/>
        </w:rPr>
        <w:t>期限</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b w:val="0"/>
          <w:bCs w:val="0"/>
          <w:szCs w:val="24"/>
          <w:highlight w:val="none"/>
          <w:u w:val="single"/>
          <w:lang w:eastAsia="zh-CN"/>
        </w:rPr>
      </w:pPr>
      <w:r>
        <w:rPr>
          <w:rFonts w:hint="eastAsia" w:ascii="宋体" w:hAnsi="宋体" w:eastAsia="宋体" w:cs="宋体"/>
          <w:b w:val="0"/>
          <w:bCs w:val="0"/>
          <w:szCs w:val="24"/>
          <w:highlight w:val="none"/>
          <w:u w:val="single"/>
        </w:rPr>
        <w:t>单个工程项目具备检测条件后，建设单位提前2天通知检测单位，20天内检测完成并出具报告</w:t>
      </w:r>
      <w:r>
        <w:rPr>
          <w:rFonts w:hint="eastAsia" w:ascii="宋体" w:hAnsi="宋体" w:eastAsia="宋体" w:cs="宋体"/>
          <w:b w:val="0"/>
          <w:bCs w:val="0"/>
          <w:szCs w:val="24"/>
          <w:highlight w:val="none"/>
          <w:u w:val="single"/>
          <w:lang w:eastAsia="zh-CN"/>
        </w:rPr>
        <w:t>。</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default" w:ascii="宋体" w:hAnsi="宋体" w:eastAsia="宋体" w:cs="宋体"/>
          <w:b/>
          <w:bCs/>
          <w:szCs w:val="24"/>
          <w:highlight w:val="none"/>
          <w:lang w:val="en-US" w:eastAsia="zh-CN"/>
        </w:rPr>
      </w:pPr>
      <w:r>
        <w:rPr>
          <w:rFonts w:hint="eastAsia" w:ascii="宋体" w:hAnsi="宋体" w:eastAsia="宋体" w:cs="宋体"/>
          <w:b/>
          <w:bCs/>
          <w:szCs w:val="24"/>
          <w:highlight w:val="none"/>
        </w:rPr>
        <w:t xml:space="preserve">第三条 </w:t>
      </w:r>
      <w:r>
        <w:rPr>
          <w:rFonts w:hint="eastAsia" w:cs="宋体"/>
          <w:b/>
          <w:bCs/>
          <w:szCs w:val="24"/>
          <w:highlight w:val="none"/>
          <w:lang w:val="en-US" w:eastAsia="zh-CN"/>
        </w:rPr>
        <w:t>检测内容</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cs="宋体"/>
          <w:sz w:val="24"/>
          <w:szCs w:val="24"/>
          <w:highlight w:val="none"/>
          <w:lang w:val="en-US" w:eastAsia="zh-CN"/>
        </w:rPr>
        <w:t>营龙片区、南环片区、弥河片区一期棚户区改造项目建筑物外墙保温传热系数检测</w:t>
      </w:r>
      <w:r>
        <w:rPr>
          <w:rFonts w:hint="eastAsia" w:ascii="宋体" w:hAnsi="宋体" w:eastAsia="宋体" w:cs="宋体"/>
          <w:szCs w:val="24"/>
          <w:highlight w:val="none"/>
        </w:rPr>
        <w:t>。</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default" w:ascii="宋体" w:hAnsi="宋体" w:eastAsia="宋体" w:cs="宋体"/>
          <w:b/>
          <w:color w:val="000000"/>
          <w:highlight w:val="none"/>
          <w:lang w:val="en-US" w:eastAsia="zh-CN"/>
        </w:rPr>
      </w:pPr>
      <w:r>
        <w:rPr>
          <w:rFonts w:hint="eastAsia" w:ascii="宋体" w:hAnsi="宋体" w:eastAsia="宋体" w:cs="宋体"/>
          <w:b/>
          <w:bCs/>
          <w:szCs w:val="24"/>
          <w:highlight w:val="none"/>
        </w:rPr>
        <w:t>第</w:t>
      </w:r>
      <w:r>
        <w:rPr>
          <w:rFonts w:hint="eastAsia" w:ascii="宋体" w:hAnsi="宋体" w:eastAsia="宋体" w:cs="宋体"/>
          <w:b/>
          <w:bCs/>
          <w:szCs w:val="24"/>
          <w:highlight w:val="none"/>
          <w:lang w:eastAsia="zh-CN"/>
        </w:rPr>
        <w:t>四</w:t>
      </w:r>
      <w:r>
        <w:rPr>
          <w:rFonts w:hint="eastAsia" w:ascii="宋体" w:hAnsi="宋体" w:eastAsia="宋体" w:cs="宋体"/>
          <w:b/>
          <w:bCs/>
          <w:szCs w:val="24"/>
          <w:highlight w:val="none"/>
        </w:rPr>
        <w:t xml:space="preserve">条 </w:t>
      </w:r>
      <w:r>
        <w:rPr>
          <w:rFonts w:hint="eastAsia" w:cs="宋体"/>
          <w:b/>
          <w:bCs/>
          <w:szCs w:val="24"/>
          <w:highlight w:val="none"/>
          <w:lang w:val="en-US" w:eastAsia="zh-CN"/>
        </w:rPr>
        <w:t>检验标准</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cs="宋体"/>
          <w:szCs w:val="24"/>
          <w:highlight w:val="none"/>
          <w:lang w:val="en-US" w:eastAsia="zh-CN"/>
        </w:rPr>
        <w:t>甲方明确检验标准的，乙方按照甲方指定标准进行检验</w:t>
      </w:r>
      <w:r>
        <w:rPr>
          <w:rFonts w:hint="eastAsia" w:ascii="宋体" w:hAnsi="宋体" w:eastAsia="宋体" w:cs="宋体"/>
          <w:szCs w:val="24"/>
          <w:highlight w:val="none"/>
        </w:rPr>
        <w:t>。</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b/>
          <w:bCs/>
          <w:szCs w:val="24"/>
          <w:highlight w:val="none"/>
          <w:lang w:val="en-US" w:eastAsia="zh-CN"/>
        </w:rPr>
      </w:pPr>
      <w:r>
        <w:rPr>
          <w:rFonts w:hint="eastAsia" w:ascii="宋体" w:hAnsi="宋体" w:eastAsia="宋体" w:cs="宋体"/>
          <w:szCs w:val="24"/>
          <w:highlight w:val="none"/>
        </w:rPr>
        <w:t>2.</w:t>
      </w:r>
      <w:r>
        <w:rPr>
          <w:rFonts w:hint="eastAsia" w:cs="宋体"/>
          <w:szCs w:val="24"/>
          <w:highlight w:val="none"/>
          <w:lang w:val="en-US" w:eastAsia="zh-CN"/>
        </w:rPr>
        <w:t>甲方未明确检验标准的，乙方按工程施工质量验收标准和检验检测标准及设计要求进行检验检测</w:t>
      </w:r>
      <w:r>
        <w:rPr>
          <w:rFonts w:hint="eastAsia" w:ascii="宋体" w:hAnsi="宋体" w:eastAsia="宋体" w:cs="宋体"/>
          <w:szCs w:val="24"/>
          <w:highlight w:val="none"/>
        </w:rPr>
        <w:t>。</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eastAsia" w:cs="宋体"/>
          <w:b/>
          <w:bCs/>
          <w:szCs w:val="24"/>
          <w:highlight w:val="none"/>
          <w:lang w:val="en-US" w:eastAsia="zh-CN"/>
        </w:rPr>
      </w:pPr>
      <w:r>
        <w:rPr>
          <w:rFonts w:hint="eastAsia" w:ascii="宋体" w:hAnsi="宋体" w:eastAsia="宋体" w:cs="宋体"/>
          <w:b/>
          <w:bCs/>
          <w:szCs w:val="24"/>
          <w:highlight w:val="none"/>
        </w:rPr>
        <w:t xml:space="preserve">第五条 </w:t>
      </w:r>
      <w:r>
        <w:rPr>
          <w:rFonts w:hint="eastAsia" w:cs="宋体"/>
          <w:b/>
          <w:bCs/>
          <w:szCs w:val="24"/>
          <w:highlight w:val="none"/>
          <w:lang w:val="en-US" w:eastAsia="zh-CN"/>
        </w:rPr>
        <w:t>付款方式</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cs="宋体"/>
          <w:b/>
          <w:bCs/>
          <w:szCs w:val="24"/>
          <w:highlight w:val="none"/>
          <w:lang w:val="en-US" w:eastAsia="zh-CN"/>
        </w:rPr>
      </w:pPr>
      <w:r>
        <w:rPr>
          <w:rFonts w:hint="eastAsia" w:ascii="宋体" w:hAnsi="宋体" w:eastAsia="宋体" w:cs="宋体"/>
          <w:b w:val="0"/>
          <w:bCs w:val="0"/>
          <w:szCs w:val="24"/>
          <w:highlight w:val="none"/>
          <w:u w:val="single"/>
          <w:lang w:val="en-US" w:eastAsia="zh-CN"/>
        </w:rPr>
        <w:t>合同签订后，</w:t>
      </w:r>
      <w:r>
        <w:rPr>
          <w:rFonts w:hint="eastAsia" w:ascii="宋体" w:hAnsi="宋体" w:eastAsia="宋体" w:cs="宋体"/>
          <w:b w:val="0"/>
          <w:bCs w:val="0"/>
          <w:szCs w:val="24"/>
          <w:highlight w:val="none"/>
          <w:u w:val="single"/>
        </w:rPr>
        <w:t>检测完成并出具</w:t>
      </w:r>
      <w:r>
        <w:rPr>
          <w:rFonts w:hint="eastAsia" w:ascii="宋体" w:hAnsi="宋体" w:eastAsia="宋体" w:cs="宋体"/>
          <w:b w:val="0"/>
          <w:bCs w:val="0"/>
          <w:szCs w:val="24"/>
          <w:highlight w:val="none"/>
          <w:u w:val="single"/>
          <w:lang w:val="en-US" w:eastAsia="zh-CN"/>
        </w:rPr>
        <w:t>报告完成后一次性付清（无息）</w:t>
      </w:r>
      <w:r>
        <w:rPr>
          <w:rFonts w:hint="eastAsia" w:ascii="宋体" w:hAnsi="宋体" w:eastAsia="宋体" w:cs="宋体"/>
          <w:b w:val="0"/>
          <w:bCs w:val="0"/>
          <w:szCs w:val="24"/>
          <w:highlight w:val="none"/>
          <w:u w:val="single"/>
          <w:lang w:eastAsia="zh-CN"/>
        </w:rPr>
        <w:t>。</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default" w:ascii="宋体" w:hAnsi="宋体" w:eastAsia="宋体" w:cs="宋体"/>
          <w:b/>
          <w:bCs/>
          <w:szCs w:val="24"/>
          <w:highlight w:val="none"/>
          <w:lang w:val="en-US" w:eastAsia="zh-CN"/>
        </w:rPr>
      </w:pPr>
      <w:r>
        <w:rPr>
          <w:rFonts w:hint="eastAsia" w:ascii="宋体" w:hAnsi="宋体" w:eastAsia="宋体" w:cs="宋体"/>
          <w:b/>
          <w:bCs/>
          <w:szCs w:val="24"/>
          <w:highlight w:val="none"/>
        </w:rPr>
        <w:t xml:space="preserve">第六条 </w:t>
      </w:r>
      <w:r>
        <w:rPr>
          <w:rFonts w:hint="eastAsia" w:cs="宋体"/>
          <w:b/>
          <w:bCs/>
          <w:szCs w:val="24"/>
          <w:highlight w:val="none"/>
          <w:lang w:val="en-US" w:eastAsia="zh-CN"/>
        </w:rPr>
        <w:t>权利义务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cs="宋体"/>
          <w:szCs w:val="24"/>
          <w:highlight w:val="none"/>
          <w:lang w:val="en-US" w:eastAsia="zh-CN"/>
        </w:rPr>
        <w:t>.</w:t>
      </w:r>
      <w:r>
        <w:rPr>
          <w:rFonts w:hint="eastAsia" w:ascii="宋体" w:hAnsi="宋体" w:eastAsia="宋体" w:cs="宋体"/>
          <w:szCs w:val="24"/>
          <w:highlight w:val="none"/>
        </w:rPr>
        <w:t>甲方责任与义务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1.1甲方向乙方提供开展乙方工作所需要的，经有关资质部门认可的，非本合同责任范围内产生的原始资料、文件等，并对其可靠性负责。</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1.2在乙方人员进入现场进行检测时，甲方应对乙方及有关的协调工作提供必要的协助，但不免除乙方根据本合同规定应负的责任。</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cs="宋体"/>
          <w:szCs w:val="24"/>
          <w:highlight w:val="none"/>
          <w:lang w:val="en-US" w:eastAsia="zh-CN"/>
        </w:rPr>
        <w:t>.</w:t>
      </w:r>
      <w:r>
        <w:rPr>
          <w:rFonts w:hint="eastAsia" w:ascii="宋体" w:hAnsi="宋体" w:eastAsia="宋体" w:cs="宋体"/>
          <w:szCs w:val="24"/>
          <w:highlight w:val="none"/>
        </w:rPr>
        <w:t>乙方责任与义务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2.1乙方必须根据有关技术经济协议文件、技术规范、规程等进行试验检测工作，并接受甲方及相关主管部门对试验检测工作的审查，按审查意见进行整改。</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2.2当甲方认为需调用乙方的检测报告时，乙方必须及时提供。甲方及甲方委托的咨询审查单位、相关主管部门对试验检测报告的审查，并不免除乙方的义务。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2.3乙方应积极配合甲方进行各项工作，按甲方规定的时间提供试验检测报告。</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2.4乙方应按照国家有关规范和标准做好试验检测质量管理工作，建立健全检测工作的质量保证体系，加强检测全过程的质量控制，建立完善的质量检测、复核、审核、会签和批准制度，明确各阶段的责任人，并对本合同工程的质量负责。</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2.5乙方交付资料及文件后，乙方应该根据甲方需要进行有关技术咨询与沟通。</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2.6对于因乙方试验检测错误造成工程重大质量事故者，乙方应按相关法律法规进行赔偿。</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2.7在现场工作的乙方人员，应遵守甲方的安全保卫及其他有关的规章制度，承担其资料保密义务。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2.8乙方按本合同规定内容、时间及份数向甲方交付试验检测报告。</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2.9乙方人员在现场试验检测过程中，如果发生意外人身伤亡、财务或其他损失，由乙方自行承担相关责任。</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eastAsia" w:ascii="宋体" w:hAnsi="宋体" w:eastAsia="宋体" w:cs="宋体"/>
          <w:b/>
          <w:bCs/>
          <w:szCs w:val="24"/>
          <w:highlight w:val="none"/>
        </w:rPr>
      </w:pPr>
      <w:r>
        <w:rPr>
          <w:rFonts w:hint="eastAsia" w:ascii="宋体" w:hAnsi="宋体" w:eastAsia="宋体" w:cs="宋体"/>
          <w:b/>
          <w:bCs/>
          <w:szCs w:val="24"/>
          <w:highlight w:val="none"/>
        </w:rPr>
        <w:t>第</w:t>
      </w:r>
      <w:r>
        <w:rPr>
          <w:rFonts w:hint="eastAsia" w:cs="宋体"/>
          <w:b/>
          <w:bCs/>
          <w:szCs w:val="24"/>
          <w:highlight w:val="none"/>
          <w:lang w:val="en-US" w:eastAsia="zh-CN"/>
        </w:rPr>
        <w:t>七</w:t>
      </w:r>
      <w:r>
        <w:rPr>
          <w:rFonts w:hint="eastAsia" w:ascii="宋体" w:hAnsi="宋体" w:eastAsia="宋体" w:cs="宋体"/>
          <w:b/>
          <w:bCs/>
          <w:szCs w:val="24"/>
          <w:highlight w:val="none"/>
        </w:rPr>
        <w:t>条 其他事项</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1.本合同一式</w:t>
      </w:r>
      <w:r>
        <w:rPr>
          <w:rFonts w:hint="eastAsia" w:cs="宋体"/>
          <w:szCs w:val="24"/>
          <w:highlight w:val="none"/>
          <w:lang w:val="en-US" w:eastAsia="zh-CN"/>
        </w:rPr>
        <w:t>陆</w:t>
      </w:r>
      <w:r>
        <w:rPr>
          <w:rFonts w:hint="eastAsia" w:ascii="宋体" w:hAnsi="宋体" w:eastAsia="宋体" w:cs="宋体"/>
          <w:szCs w:val="24"/>
          <w:highlight w:val="none"/>
        </w:rPr>
        <w:t>份，甲方执</w:t>
      </w:r>
      <w:r>
        <w:rPr>
          <w:rFonts w:hint="eastAsia" w:ascii="宋体" w:hAnsi="宋体" w:eastAsia="宋体" w:cs="宋体"/>
          <w:szCs w:val="24"/>
          <w:highlight w:val="none"/>
          <w:lang w:eastAsia="zh-CN"/>
        </w:rPr>
        <w:t>贰</w:t>
      </w:r>
      <w:r>
        <w:rPr>
          <w:rFonts w:hint="eastAsia" w:ascii="宋体" w:hAnsi="宋体" w:eastAsia="宋体" w:cs="宋体"/>
          <w:szCs w:val="24"/>
          <w:highlight w:val="none"/>
        </w:rPr>
        <w:t>份，乙方执</w:t>
      </w:r>
      <w:r>
        <w:rPr>
          <w:rFonts w:hint="eastAsia" w:ascii="宋体" w:hAnsi="宋体" w:eastAsia="宋体" w:cs="宋体"/>
          <w:szCs w:val="24"/>
          <w:highlight w:val="none"/>
          <w:lang w:val="en-US" w:eastAsia="zh-CN"/>
        </w:rPr>
        <w:t>叁</w:t>
      </w:r>
      <w:r>
        <w:rPr>
          <w:rFonts w:hint="eastAsia" w:ascii="宋体" w:hAnsi="宋体" w:eastAsia="宋体" w:cs="宋体"/>
          <w:szCs w:val="24"/>
          <w:highlight w:val="none"/>
        </w:rPr>
        <w:t>份，</w:t>
      </w:r>
      <w:r>
        <w:rPr>
          <w:rFonts w:hint="eastAsia" w:cs="宋体"/>
          <w:szCs w:val="24"/>
          <w:highlight w:val="none"/>
          <w:lang w:val="en-US" w:eastAsia="zh-CN"/>
        </w:rPr>
        <w:t>代理机构壹份，</w:t>
      </w:r>
      <w:r>
        <w:rPr>
          <w:rFonts w:hint="eastAsia" w:ascii="宋体" w:hAnsi="宋体" w:eastAsia="宋体" w:cs="宋体"/>
          <w:szCs w:val="24"/>
          <w:highlight w:val="none"/>
        </w:rPr>
        <w:t>经双方签字盖章后生效。</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2.本合同附件作为本合同不可分割的整体，与本合同具</w:t>
      </w:r>
      <w:r>
        <w:rPr>
          <w:rFonts w:hint="eastAsia" w:ascii="宋体" w:hAnsi="宋体" w:eastAsia="宋体" w:cs="宋体"/>
          <w:szCs w:val="24"/>
          <w:highlight w:val="none"/>
          <w:lang w:val="en-US" w:eastAsia="zh-CN"/>
        </w:rPr>
        <w:t>有</w:t>
      </w:r>
      <w:r>
        <w:rPr>
          <w:rFonts w:hint="eastAsia" w:ascii="宋体" w:hAnsi="宋体" w:eastAsia="宋体" w:cs="宋体"/>
          <w:szCs w:val="24"/>
          <w:highlight w:val="none"/>
        </w:rPr>
        <w:t>同等法律效力。</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3.在履约过程中发生的争议，由双方先行协商解决。协商不成的，可向</w:t>
      </w:r>
      <w:r>
        <w:rPr>
          <w:rFonts w:hint="eastAsia" w:cs="宋体"/>
          <w:szCs w:val="24"/>
          <w:highlight w:val="none"/>
          <w:lang w:val="en-US" w:eastAsia="zh-CN"/>
        </w:rPr>
        <w:t>临朐县</w:t>
      </w:r>
      <w:r>
        <w:rPr>
          <w:rFonts w:hint="eastAsia" w:ascii="宋体" w:hAnsi="宋体" w:eastAsia="宋体" w:cs="宋体"/>
          <w:szCs w:val="24"/>
          <w:highlight w:val="none"/>
        </w:rPr>
        <w:t>人民法院提起诉讼。</w:t>
      </w:r>
    </w:p>
    <w:p>
      <w:pPr>
        <w:pStyle w:val="49"/>
        <w:pageBreakBefore w:val="0"/>
        <w:widowControl w:val="0"/>
        <w:kinsoku/>
        <w:wordWrap/>
        <w:overflowPunct/>
        <w:topLinePunct w:val="0"/>
        <w:bidi w:val="0"/>
        <w:snapToGrid/>
        <w:spacing w:before="0" w:after="0" w:line="360" w:lineRule="auto"/>
        <w:ind w:left="92" w:leftChars="44" w:right="23" w:firstLine="480" w:firstLineChars="200"/>
        <w:jc w:val="both"/>
        <w:textAlignment w:val="auto"/>
        <w:rPr>
          <w:rFonts w:hint="eastAsia" w:ascii="宋体" w:hAnsi="宋体" w:eastAsia="宋体" w:cs="宋体"/>
          <w:szCs w:val="24"/>
          <w:highlight w:val="none"/>
        </w:rPr>
      </w:pP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    方：                            乙    方：</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单位名称</w:t>
      </w:r>
      <w:r>
        <w:rPr>
          <w:rFonts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t>公章</w:t>
      </w:r>
      <w:r>
        <w:rPr>
          <w:rFonts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t xml:space="preserve">：                     </w:t>
      </w:r>
      <w:r>
        <w:rPr>
          <w:rFonts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t>单位名称</w:t>
      </w:r>
      <w:r>
        <w:rPr>
          <w:rFonts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t>公章</w:t>
      </w:r>
      <w:r>
        <w:rPr>
          <w:rFonts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t>：</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     </w:t>
      </w:r>
      <w:r>
        <w:rPr>
          <w:rFonts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t xml:space="preserve">                    法定代表人或</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授权代理人（签字）：                  授权代理人（签字）：</w:t>
      </w:r>
    </w:p>
    <w:p>
      <w:pPr>
        <w:pStyle w:val="17"/>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    话：</w:t>
      </w:r>
      <w:r>
        <w:rPr>
          <w:rFonts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t xml:space="preserve">                           电    话：</w:t>
      </w:r>
    </w:p>
    <w:p>
      <w:pPr>
        <w:pStyle w:val="17"/>
        <w:spacing w:line="48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签订日期：                            签订日期：</w:t>
      </w:r>
    </w:p>
    <w:p>
      <w:pPr>
        <w:rPr>
          <w:highlight w:val="none"/>
        </w:rPr>
      </w:pPr>
      <w:r>
        <w:rPr>
          <w:rFonts w:hint="eastAsia"/>
          <w:highlight w:val="none"/>
        </w:rPr>
        <w:br w:type="page"/>
      </w:r>
    </w:p>
    <w:p>
      <w:pPr>
        <w:pStyle w:val="2"/>
        <w:spacing w:line="520" w:lineRule="exact"/>
        <w:jc w:val="center"/>
        <w:rPr>
          <w:rFonts w:asciiTheme="majorEastAsia" w:hAnsiTheme="majorEastAsia" w:eastAsiaTheme="majorEastAsia" w:cstheme="majorEastAsia"/>
          <w:sz w:val="32"/>
          <w:szCs w:val="32"/>
          <w:highlight w:val="none"/>
        </w:rPr>
      </w:pPr>
      <w:bookmarkStart w:id="17" w:name="_Toc9661"/>
      <w:r>
        <w:rPr>
          <w:rFonts w:hint="eastAsia" w:asciiTheme="majorEastAsia" w:hAnsiTheme="majorEastAsia" w:eastAsiaTheme="majorEastAsia" w:cstheme="majorEastAsia"/>
          <w:sz w:val="32"/>
          <w:szCs w:val="32"/>
          <w:highlight w:val="none"/>
        </w:rPr>
        <w:t>第</w:t>
      </w:r>
      <w:r>
        <w:rPr>
          <w:rFonts w:hint="eastAsia" w:asciiTheme="majorEastAsia" w:hAnsiTheme="majorEastAsia" w:eastAsiaTheme="majorEastAsia" w:cstheme="majorEastAsia"/>
          <w:sz w:val="32"/>
          <w:szCs w:val="32"/>
          <w:highlight w:val="none"/>
          <w:lang w:val="en-US" w:eastAsia="zh-CN"/>
        </w:rPr>
        <w:t>五</w:t>
      </w:r>
      <w:r>
        <w:rPr>
          <w:rFonts w:hint="eastAsia" w:asciiTheme="majorEastAsia" w:hAnsiTheme="majorEastAsia" w:eastAsiaTheme="majorEastAsia" w:cstheme="majorEastAsia"/>
          <w:sz w:val="32"/>
          <w:szCs w:val="32"/>
          <w:highlight w:val="none"/>
        </w:rPr>
        <w:t>章 响应文件（格式）</w:t>
      </w:r>
      <w:bookmarkEnd w:id="17"/>
    </w:p>
    <w:p>
      <w:pPr>
        <w:jc w:val="righ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正/副本</w:t>
      </w:r>
    </w:p>
    <w:p>
      <w:pPr>
        <w:jc w:val="center"/>
        <w:rPr>
          <w:rFonts w:asciiTheme="minorEastAsia" w:hAnsiTheme="minorEastAsia" w:cstheme="minorEastAsia"/>
          <w:sz w:val="28"/>
          <w:szCs w:val="28"/>
          <w:highlight w:val="none"/>
        </w:rPr>
      </w:pPr>
    </w:p>
    <w:p>
      <w:pPr>
        <w:jc w:val="center"/>
        <w:rPr>
          <w:rFonts w:asciiTheme="minorEastAsia" w:hAnsiTheme="minorEastAsia" w:cstheme="minorEastAsia"/>
          <w:sz w:val="28"/>
          <w:szCs w:val="28"/>
          <w:highlight w:val="none"/>
        </w:rPr>
      </w:pPr>
    </w:p>
    <w:p>
      <w:pPr>
        <w:jc w:val="center"/>
        <w:rPr>
          <w:rFonts w:hint="default" w:asciiTheme="minorEastAsia" w:hAnsiTheme="minorEastAsia" w:cstheme="minorEastAsia"/>
          <w:sz w:val="28"/>
          <w:szCs w:val="28"/>
          <w:highlight w:val="none"/>
          <w:lang w:val="en-US"/>
        </w:rPr>
      </w:pPr>
      <w:r>
        <w:rPr>
          <w:rFonts w:hint="eastAsia" w:asciiTheme="majorEastAsia" w:hAnsiTheme="majorEastAsia" w:eastAsiaTheme="majorEastAsia" w:cstheme="majorEastAsia"/>
          <w:b/>
          <w:bCs/>
          <w:color w:val="000000"/>
          <w:kern w:val="0"/>
          <w:sz w:val="52"/>
          <w:szCs w:val="52"/>
          <w:highlight w:val="none"/>
          <w:lang w:eastAsia="zh-CN"/>
        </w:rPr>
        <w:t>营龙片区、南环片区、弥河片区一期棚户区改造项目外墙传热系数检测</w:t>
      </w:r>
    </w:p>
    <w:p>
      <w:pPr>
        <w:jc w:val="center"/>
        <w:rPr>
          <w:rFonts w:asciiTheme="minorEastAsia" w:hAnsiTheme="minorEastAsia" w:cstheme="minorEastAsia"/>
          <w:sz w:val="28"/>
          <w:szCs w:val="28"/>
          <w:highlight w:val="none"/>
        </w:rPr>
      </w:pPr>
    </w:p>
    <w:p>
      <w:pPr>
        <w:jc w:val="center"/>
        <w:rPr>
          <w:rFonts w:asciiTheme="minorEastAsia" w:hAnsiTheme="minorEastAsia" w:cstheme="minorEastAsia"/>
          <w:b/>
          <w:spacing w:val="30"/>
          <w:sz w:val="72"/>
          <w:szCs w:val="72"/>
          <w:highlight w:val="none"/>
        </w:rPr>
      </w:pPr>
      <w:r>
        <w:rPr>
          <w:rFonts w:hint="eastAsia" w:asciiTheme="minorEastAsia" w:hAnsiTheme="minorEastAsia" w:cstheme="minorEastAsia"/>
          <w:b/>
          <w:spacing w:val="30"/>
          <w:sz w:val="84"/>
          <w:szCs w:val="84"/>
          <w:highlight w:val="none"/>
        </w:rPr>
        <w:t>响 应 文 件</w:t>
      </w:r>
    </w:p>
    <w:p>
      <w:pPr>
        <w:jc w:val="center"/>
        <w:rPr>
          <w:rFonts w:asciiTheme="minorEastAsia" w:hAnsiTheme="minorEastAsia" w:cstheme="minorEastAsia"/>
          <w:sz w:val="24"/>
          <w:highlight w:val="none"/>
        </w:rPr>
      </w:pPr>
      <w:r>
        <w:rPr>
          <w:rFonts w:hint="eastAsia" w:asciiTheme="minorEastAsia" w:hAnsiTheme="minorEastAsia" w:cstheme="minorEastAsia"/>
          <w:b/>
          <w:sz w:val="28"/>
          <w:szCs w:val="28"/>
          <w:highlight w:val="none"/>
        </w:rPr>
        <w:t>项目编号：</w:t>
      </w:r>
    </w:p>
    <w:p>
      <w:pPr>
        <w:jc w:val="center"/>
        <w:rPr>
          <w:rFonts w:asciiTheme="minorEastAsia" w:hAnsiTheme="minorEastAsia" w:cstheme="minorEastAsia"/>
          <w:sz w:val="28"/>
          <w:szCs w:val="28"/>
          <w:highlight w:val="none"/>
        </w:rPr>
      </w:pPr>
    </w:p>
    <w:p>
      <w:pPr>
        <w:jc w:val="center"/>
        <w:rPr>
          <w:rFonts w:asciiTheme="minorEastAsia" w:hAnsiTheme="minorEastAsia" w:cstheme="minorEastAsia"/>
          <w:sz w:val="28"/>
          <w:szCs w:val="28"/>
          <w:highlight w:val="none"/>
        </w:rPr>
      </w:pPr>
    </w:p>
    <w:p>
      <w:pPr>
        <w:jc w:val="center"/>
        <w:rPr>
          <w:rFonts w:asciiTheme="minorEastAsia" w:hAnsiTheme="minorEastAsia" w:cstheme="minorEastAsia"/>
          <w:sz w:val="28"/>
          <w:szCs w:val="28"/>
          <w:highlight w:val="none"/>
        </w:rPr>
      </w:pPr>
    </w:p>
    <w:p>
      <w:pPr>
        <w:jc w:val="center"/>
        <w:rPr>
          <w:rFonts w:asciiTheme="minorEastAsia" w:hAnsiTheme="minorEastAsia" w:cstheme="minorEastAsia"/>
          <w:sz w:val="28"/>
          <w:szCs w:val="28"/>
          <w:highlight w:val="none"/>
        </w:rPr>
      </w:pPr>
    </w:p>
    <w:p>
      <w:pPr>
        <w:tabs>
          <w:tab w:val="left" w:pos="3600"/>
          <w:tab w:val="left" w:pos="3780"/>
        </w:tabs>
        <w:snapToGrid w:val="0"/>
        <w:spacing w:line="520" w:lineRule="exact"/>
        <w:ind w:firstLine="843" w:firstLineChars="200"/>
        <w:rPr>
          <w:rFonts w:asciiTheme="minorEastAsia" w:hAnsiTheme="minorEastAsia" w:cstheme="minorEastAsia"/>
          <w:b/>
          <w:sz w:val="32"/>
          <w:highlight w:val="none"/>
          <w:u w:val="single"/>
        </w:rPr>
      </w:pPr>
      <w:r>
        <w:rPr>
          <w:rFonts w:hint="eastAsia" w:asciiTheme="minorEastAsia" w:hAnsiTheme="minorEastAsia" w:cstheme="minorEastAsia"/>
          <w:b/>
          <w:spacing w:val="50"/>
          <w:sz w:val="32"/>
          <w:highlight w:val="none"/>
        </w:rPr>
        <w:t>供应商名称：</w:t>
      </w:r>
      <w:r>
        <w:rPr>
          <w:rFonts w:hint="eastAsia" w:asciiTheme="minorEastAsia" w:hAnsiTheme="minorEastAsia" w:cstheme="minorEastAsia"/>
          <w:b/>
          <w:sz w:val="32"/>
          <w:highlight w:val="none"/>
          <w:u w:val="single"/>
        </w:rPr>
        <w:t xml:space="preserve">                       （公章）</w:t>
      </w:r>
    </w:p>
    <w:p>
      <w:pPr>
        <w:jc w:val="center"/>
        <w:rPr>
          <w:rFonts w:asciiTheme="minorEastAsia" w:hAnsiTheme="minorEastAsia" w:cstheme="minorEastAsia"/>
          <w:sz w:val="28"/>
          <w:szCs w:val="28"/>
          <w:highlight w:val="none"/>
        </w:rPr>
      </w:pPr>
    </w:p>
    <w:p>
      <w:pPr>
        <w:snapToGrid w:val="0"/>
        <w:ind w:firstLine="842" w:firstLineChars="262"/>
        <w:rPr>
          <w:rFonts w:asciiTheme="minorEastAsia" w:hAnsiTheme="minorEastAsia" w:cstheme="minorEastAsia"/>
          <w:b/>
          <w:sz w:val="32"/>
          <w:highlight w:val="none"/>
        </w:rPr>
      </w:pPr>
      <w:r>
        <w:rPr>
          <w:rFonts w:hint="eastAsia" w:asciiTheme="minorEastAsia" w:hAnsiTheme="minorEastAsia" w:cstheme="minorEastAsia"/>
          <w:b/>
          <w:sz w:val="32"/>
          <w:highlight w:val="none"/>
        </w:rPr>
        <w:t>法 定 代 表 人</w:t>
      </w:r>
    </w:p>
    <w:p>
      <w:pPr>
        <w:snapToGrid w:val="0"/>
        <w:ind w:firstLine="842" w:firstLineChars="262"/>
        <w:rPr>
          <w:rFonts w:asciiTheme="minorEastAsia" w:hAnsiTheme="minorEastAsia" w:cstheme="minorEastAsia"/>
          <w:b/>
          <w:sz w:val="32"/>
          <w:highlight w:val="none"/>
        </w:rPr>
      </w:pPr>
      <w:r>
        <w:rPr>
          <w:rFonts w:hint="eastAsia" w:asciiTheme="minorEastAsia" w:hAnsiTheme="minorEastAsia" w:cstheme="minorEastAsia"/>
          <w:b/>
          <w:sz w:val="32"/>
          <w:highlight w:val="none"/>
        </w:rPr>
        <w:t>或其授权委托人：</w:t>
      </w:r>
      <w:r>
        <w:rPr>
          <w:rFonts w:hint="eastAsia" w:asciiTheme="minorEastAsia" w:hAnsiTheme="minorEastAsia" w:cstheme="minorEastAsia"/>
          <w:b/>
          <w:sz w:val="32"/>
          <w:highlight w:val="none"/>
          <w:u w:val="single"/>
        </w:rPr>
        <w:t xml:space="preserve">                （签字或盖章）</w:t>
      </w:r>
    </w:p>
    <w:p>
      <w:pPr>
        <w:jc w:val="center"/>
        <w:rPr>
          <w:rFonts w:asciiTheme="minorEastAsia" w:hAnsiTheme="minorEastAsia" w:cstheme="minorEastAsia"/>
          <w:sz w:val="28"/>
          <w:szCs w:val="28"/>
          <w:highlight w:val="none"/>
        </w:rPr>
      </w:pPr>
    </w:p>
    <w:p>
      <w:pPr>
        <w:snapToGrid w:val="0"/>
        <w:ind w:firstLine="3319" w:firstLineChars="1033"/>
        <w:rPr>
          <w:rFonts w:asciiTheme="minorEastAsia" w:hAnsiTheme="minorEastAsia" w:cstheme="minorEastAsia"/>
          <w:b/>
          <w:sz w:val="32"/>
          <w:highlight w:val="none"/>
        </w:rPr>
      </w:pPr>
      <w:r>
        <w:rPr>
          <w:rFonts w:hint="eastAsia" w:asciiTheme="minorEastAsia" w:hAnsiTheme="minorEastAsia" w:cstheme="minorEastAsia"/>
          <w:b/>
          <w:sz w:val="32"/>
          <w:highlight w:val="none"/>
          <w:u w:val="none"/>
          <w:lang w:val="en-US" w:eastAsia="zh-CN"/>
        </w:rPr>
        <w:t>2024</w:t>
      </w:r>
      <w:r>
        <w:rPr>
          <w:rFonts w:hint="eastAsia" w:asciiTheme="minorEastAsia" w:hAnsiTheme="minorEastAsia" w:cstheme="minorEastAsia"/>
          <w:b/>
          <w:sz w:val="32"/>
          <w:highlight w:val="none"/>
        </w:rPr>
        <w:t>年</w:t>
      </w:r>
      <w:r>
        <w:rPr>
          <w:rFonts w:hint="eastAsia" w:asciiTheme="minorEastAsia" w:hAnsiTheme="minorEastAsia" w:cstheme="minorEastAsia"/>
          <w:b/>
          <w:sz w:val="32"/>
          <w:highlight w:val="none"/>
          <w:lang w:val="en-US" w:eastAsia="zh-CN"/>
        </w:rPr>
        <w:t xml:space="preserve">  </w:t>
      </w:r>
      <w:r>
        <w:rPr>
          <w:rFonts w:hint="eastAsia" w:asciiTheme="minorEastAsia" w:hAnsiTheme="minorEastAsia" w:cstheme="minorEastAsia"/>
          <w:b/>
          <w:sz w:val="32"/>
          <w:highlight w:val="none"/>
        </w:rPr>
        <w:t>月</w:t>
      </w:r>
      <w:r>
        <w:rPr>
          <w:rFonts w:hint="eastAsia" w:asciiTheme="minorEastAsia" w:hAnsiTheme="minorEastAsia" w:cstheme="minorEastAsia"/>
          <w:b/>
          <w:sz w:val="32"/>
          <w:highlight w:val="none"/>
          <w:lang w:val="en-US" w:eastAsia="zh-CN"/>
        </w:rPr>
        <w:t xml:space="preserve">  </w:t>
      </w:r>
      <w:r>
        <w:rPr>
          <w:rFonts w:hint="eastAsia" w:asciiTheme="minorEastAsia" w:hAnsiTheme="minorEastAsia" w:cstheme="minorEastAsia"/>
          <w:b/>
          <w:sz w:val="32"/>
          <w:highlight w:val="none"/>
        </w:rPr>
        <w:t>日</w:t>
      </w:r>
    </w:p>
    <w:p>
      <w:pPr>
        <w:jc w:val="center"/>
        <w:rPr>
          <w:rFonts w:asciiTheme="minorEastAsia" w:hAnsiTheme="minorEastAsia" w:cstheme="minorEastAsia"/>
          <w:b/>
          <w:sz w:val="30"/>
          <w:szCs w:val="30"/>
          <w:highlight w:val="none"/>
        </w:rPr>
      </w:pPr>
      <w:r>
        <w:rPr>
          <w:rFonts w:hint="eastAsia" w:asciiTheme="minorEastAsia" w:hAnsiTheme="minorEastAsia" w:cstheme="minorEastAsia"/>
          <w:highlight w:val="none"/>
        </w:rPr>
        <w:br w:type="page"/>
      </w:r>
      <w:r>
        <w:rPr>
          <w:rFonts w:hint="eastAsia" w:asciiTheme="minorEastAsia" w:hAnsiTheme="minorEastAsia" w:cstheme="minorEastAsia"/>
          <w:b/>
          <w:sz w:val="30"/>
          <w:szCs w:val="30"/>
          <w:highlight w:val="none"/>
        </w:rPr>
        <w:t>一、磋商函</w:t>
      </w:r>
    </w:p>
    <w:p>
      <w:pPr>
        <w:spacing w:line="52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临朐沂山实业有限公司</w:t>
      </w:r>
      <w:r>
        <w:rPr>
          <w:rFonts w:hint="eastAsia" w:asciiTheme="minorEastAsia" w:hAnsiTheme="minorEastAsia" w:cstheme="minorEastAsia"/>
          <w:sz w:val="24"/>
          <w:szCs w:val="24"/>
          <w:highlight w:val="none"/>
        </w:rPr>
        <w:t>：</w:t>
      </w:r>
    </w:p>
    <w:p>
      <w:pPr>
        <w:spacing w:line="52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rPr>
        <w:t>1、根据你方编号为</w:t>
      </w:r>
      <w:r>
        <w:rPr>
          <w:rFonts w:hint="eastAsia" w:asciiTheme="minorEastAsia" w:hAnsiTheme="minorEastAsia" w:cstheme="minorEastAsia"/>
          <w:sz w:val="24"/>
          <w:szCs w:val="24"/>
          <w:highlight w:val="none"/>
          <w:u w:val="single"/>
        </w:rPr>
        <w:t xml:space="preserve">  （项目编号）  </w:t>
      </w:r>
      <w:r>
        <w:rPr>
          <w:rFonts w:hint="eastAsia" w:asciiTheme="minorEastAsia" w:hAnsiTheme="minorEastAsia" w:cstheme="minorEastAsia"/>
          <w:sz w:val="24"/>
          <w:szCs w:val="24"/>
          <w:highlight w:val="none"/>
        </w:rPr>
        <w:t>的</w:t>
      </w:r>
      <w:r>
        <w:rPr>
          <w:rFonts w:hint="eastAsia" w:asciiTheme="minorEastAsia" w:hAnsiTheme="minorEastAsia" w:cstheme="minorEastAsia"/>
          <w:sz w:val="24"/>
          <w:szCs w:val="24"/>
          <w:highlight w:val="none"/>
          <w:u w:val="single"/>
        </w:rPr>
        <w:t xml:space="preserve">  （项目名称）  </w:t>
      </w:r>
      <w:r>
        <w:rPr>
          <w:rFonts w:hint="eastAsia" w:asciiTheme="minorEastAsia" w:hAnsiTheme="minorEastAsia" w:cstheme="minorEastAsia"/>
          <w:sz w:val="24"/>
          <w:szCs w:val="24"/>
          <w:highlight w:val="none"/>
        </w:rPr>
        <w:t>磋商文件，遵照</w:t>
      </w:r>
      <w:r>
        <w:rPr>
          <w:rFonts w:hint="eastAsia" w:asciiTheme="minorEastAsia" w:hAnsiTheme="minorEastAsia" w:cstheme="minorEastAsia"/>
          <w:sz w:val="24"/>
          <w:szCs w:val="24"/>
          <w:highlight w:val="none"/>
          <w:lang w:eastAsia="zh-CN"/>
        </w:rPr>
        <w:t>相关法律法规规定</w:t>
      </w:r>
      <w:r>
        <w:rPr>
          <w:rFonts w:hint="eastAsia" w:asciiTheme="minorEastAsia" w:hAnsiTheme="minorEastAsia" w:cstheme="minorEastAsia"/>
          <w:sz w:val="24"/>
          <w:szCs w:val="24"/>
          <w:highlight w:val="none"/>
        </w:rPr>
        <w:t>，经踏勘项目现场和研究上述磋商文件的磋商须知、合同条款、要求标准及其他有关文件后，愿</w:t>
      </w:r>
      <w:r>
        <w:rPr>
          <w:rFonts w:hint="eastAsia" w:asciiTheme="minorEastAsia" w:hAnsiTheme="minorEastAsia" w:cstheme="minorEastAsia"/>
          <w:sz w:val="24"/>
          <w:szCs w:val="24"/>
          <w:highlight w:val="none"/>
          <w:lang w:val="en-US" w:eastAsia="zh-CN"/>
        </w:rPr>
        <w:t>以</w:t>
      </w:r>
      <w:r>
        <w:rPr>
          <w:rFonts w:hint="eastAsia" w:asciiTheme="minorEastAsia" w:hAnsiTheme="minorEastAsia" w:cstheme="minorEastAsia"/>
          <w:color w:val="auto"/>
          <w:sz w:val="24"/>
          <w:szCs w:val="24"/>
          <w:highlight w:val="none"/>
          <w:u w:val="single"/>
          <w:lang w:val="en-US" w:eastAsia="zh-CN"/>
        </w:rPr>
        <w:t>￥     （大写：）</w:t>
      </w:r>
      <w:r>
        <w:rPr>
          <w:rFonts w:hint="eastAsia" w:asciiTheme="minorEastAsia" w:hAnsiTheme="minorEastAsia" w:cstheme="minorEastAsia"/>
          <w:color w:val="0000FF"/>
          <w:sz w:val="24"/>
          <w:szCs w:val="24"/>
          <w:highlight w:val="none"/>
          <w:lang w:val="en-US" w:eastAsia="zh-CN"/>
        </w:rPr>
        <w:t xml:space="preserve"> </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按照磋商文件中的要求，</w:t>
      </w:r>
      <w:r>
        <w:rPr>
          <w:rFonts w:hint="eastAsia" w:asciiTheme="minorEastAsia" w:hAnsiTheme="minorEastAsia" w:cstheme="minorEastAsia"/>
          <w:sz w:val="24"/>
          <w:szCs w:val="24"/>
          <w:highlight w:val="none"/>
          <w:lang w:val="en-US" w:eastAsia="zh-CN"/>
        </w:rPr>
        <w:t>承揽本项目。</w:t>
      </w:r>
    </w:p>
    <w:p>
      <w:pPr>
        <w:spacing w:line="52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2、如我方成交，我方保证按照磋商文件要求，严格执行技术规范、标准。</w:t>
      </w:r>
    </w:p>
    <w:p>
      <w:pPr>
        <w:spacing w:line="52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3、我方按照规定</w:t>
      </w:r>
      <w:r>
        <w:rPr>
          <w:rFonts w:hint="eastAsia" w:asciiTheme="minorEastAsia" w:hAnsiTheme="minorEastAsia" w:cstheme="minorEastAsia"/>
          <w:color w:val="auto"/>
          <w:sz w:val="24"/>
          <w:szCs w:val="24"/>
          <w:highlight w:val="none"/>
        </w:rPr>
        <w:t>提交</w:t>
      </w:r>
      <w:r>
        <w:rPr>
          <w:rFonts w:hint="eastAsia" w:asciiTheme="minorEastAsia" w:hAnsiTheme="minorEastAsia" w:cstheme="minorEastAsia"/>
          <w:color w:val="auto"/>
          <w:sz w:val="24"/>
          <w:szCs w:val="24"/>
          <w:highlight w:val="none"/>
          <w:u w:val="single"/>
          <w:lang w:val="en-US" w:eastAsia="zh-CN"/>
        </w:rPr>
        <w:t xml:space="preserve"> 3000.00 </w:t>
      </w:r>
      <w:r>
        <w:rPr>
          <w:rFonts w:hint="eastAsia" w:asciiTheme="minorEastAsia" w:hAnsiTheme="minorEastAsia" w:cstheme="minorEastAsia"/>
          <w:color w:val="auto"/>
          <w:sz w:val="24"/>
          <w:szCs w:val="24"/>
          <w:highlight w:val="none"/>
        </w:rPr>
        <w:t>元作为磋商保证</w:t>
      </w:r>
      <w:r>
        <w:rPr>
          <w:rFonts w:hint="eastAsia" w:asciiTheme="minorEastAsia" w:hAnsiTheme="minorEastAsia" w:cstheme="minorEastAsia"/>
          <w:sz w:val="24"/>
          <w:szCs w:val="24"/>
          <w:highlight w:val="none"/>
        </w:rPr>
        <w:t>金。</w:t>
      </w:r>
    </w:p>
    <w:p>
      <w:pPr>
        <w:spacing w:line="52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4、我方保证磋商文件中所提供的资料数据的真实性、合法性、有效性，并同意采购人保留在合同签署前对其进行验证的权力。</w:t>
      </w:r>
    </w:p>
    <w:p>
      <w:pPr>
        <w:spacing w:line="52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5、我方同意所递交的响应文件在规定的磋商有效期内有效，在此期间内我方有可能成交，我方将受此约束。</w:t>
      </w:r>
    </w:p>
    <w:p>
      <w:pPr>
        <w:spacing w:line="52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6、除非另外达成协议并生效，你方的成交通知书和本响应文件将构成约束我们双方的合同</w:t>
      </w:r>
    </w:p>
    <w:p>
      <w:pPr>
        <w:pStyle w:val="15"/>
        <w:rPr>
          <w:rFonts w:asciiTheme="minorEastAsia" w:hAnsiTheme="minorEastAsia" w:cstheme="minorEastAsia"/>
          <w:sz w:val="24"/>
          <w:szCs w:val="24"/>
          <w:highlight w:val="none"/>
        </w:rPr>
      </w:pPr>
    </w:p>
    <w:p>
      <w:pPr>
        <w:rPr>
          <w:sz w:val="24"/>
          <w:szCs w:val="24"/>
          <w:highlight w:val="none"/>
        </w:rPr>
      </w:pPr>
    </w:p>
    <w:p>
      <w:pPr>
        <w:spacing w:line="520" w:lineRule="exact"/>
        <w:rPr>
          <w:rFonts w:asciiTheme="minorEastAsia" w:hAnsiTheme="minorEastAsia" w:cstheme="minorEastAsia"/>
          <w:sz w:val="24"/>
          <w:szCs w:val="24"/>
          <w:highlight w:val="none"/>
        </w:rPr>
      </w:pPr>
    </w:p>
    <w:p>
      <w:pPr>
        <w:spacing w:line="52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供应商（公章）：       法定代表人或其授权委托人（签字或盖章）：</w:t>
      </w:r>
    </w:p>
    <w:p>
      <w:pPr>
        <w:spacing w:line="52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地    址：             联 系 人：</w:t>
      </w:r>
    </w:p>
    <w:p>
      <w:pPr>
        <w:spacing w:line="52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电    话：             传    真：</w:t>
      </w:r>
    </w:p>
    <w:p>
      <w:pPr>
        <w:spacing w:line="52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开户名称：             开户银行： </w:t>
      </w:r>
    </w:p>
    <w:p>
      <w:pPr>
        <w:spacing w:line="52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账    号：</w:t>
      </w:r>
    </w:p>
    <w:p>
      <w:pPr>
        <w:spacing w:line="520" w:lineRule="exact"/>
        <w:ind w:firstLine="480" w:firstLineChars="200"/>
        <w:jc w:val="right"/>
        <w:rPr>
          <w:rFonts w:asciiTheme="minorEastAsia" w:hAnsiTheme="minorEastAsia" w:cstheme="minorEastAsia"/>
          <w:sz w:val="24"/>
          <w:szCs w:val="24"/>
          <w:highlight w:val="none"/>
        </w:rPr>
      </w:pPr>
    </w:p>
    <w:p>
      <w:pPr>
        <w:spacing w:line="520" w:lineRule="exact"/>
        <w:ind w:firstLine="480" w:firstLineChars="200"/>
        <w:jc w:val="righ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日期：    年  月  日</w:t>
      </w:r>
    </w:p>
    <w:p>
      <w:pPr>
        <w:spacing w:line="480" w:lineRule="exact"/>
        <w:jc w:val="center"/>
        <w:rPr>
          <w:rFonts w:asciiTheme="minorEastAsia" w:hAnsiTheme="minorEastAsia" w:cstheme="minorEastAsia"/>
          <w:b/>
          <w:bCs/>
          <w:sz w:val="30"/>
          <w:highlight w:val="none"/>
        </w:rPr>
      </w:pPr>
      <w:r>
        <w:rPr>
          <w:rFonts w:hint="eastAsia" w:asciiTheme="minorEastAsia" w:hAnsiTheme="minorEastAsia" w:cstheme="minorEastAsia"/>
          <w:b/>
          <w:sz w:val="32"/>
          <w:szCs w:val="32"/>
          <w:highlight w:val="none"/>
        </w:rPr>
        <w:br w:type="page"/>
      </w:r>
    </w:p>
    <w:p>
      <w:pPr>
        <w:pStyle w:val="37"/>
        <w:spacing w:line="360" w:lineRule="auto"/>
        <w:ind w:firstLine="0"/>
        <w:jc w:val="center"/>
        <w:rPr>
          <w:rFonts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rPr>
        <w:t>二、法定代表人资格证明书</w:t>
      </w:r>
    </w:p>
    <w:p>
      <w:pPr>
        <w:spacing w:line="480" w:lineRule="auto"/>
        <w:ind w:firstLine="610"/>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cstheme="minorEastAsia"/>
          <w:sz w:val="24"/>
          <w:szCs w:val="24"/>
          <w:highlight w:val="none"/>
        </w:rPr>
        <w:t>单位名称：</w:t>
      </w:r>
      <w:r>
        <w:rPr>
          <w:rFonts w:hint="eastAsia" w:asciiTheme="minorEastAsia" w:hAnsiTheme="minorEastAsia" w:cstheme="minorEastAsia"/>
          <w:sz w:val="24"/>
          <w:szCs w:val="24"/>
          <w:highlight w:val="none"/>
          <w:u w:val="single"/>
          <w:lang w:val="en-US" w:eastAsia="zh-CN"/>
        </w:rPr>
        <w:t xml:space="preserve">                                  </w:t>
      </w:r>
    </w:p>
    <w:p>
      <w:pPr>
        <w:spacing w:line="480" w:lineRule="auto"/>
        <w:ind w:firstLine="610"/>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单位性质：</w:t>
      </w:r>
      <w:r>
        <w:rPr>
          <w:rFonts w:hint="eastAsia" w:asciiTheme="minorEastAsia" w:hAnsiTheme="minorEastAsia" w:cstheme="minorEastAsia"/>
          <w:sz w:val="24"/>
          <w:szCs w:val="24"/>
          <w:highlight w:val="none"/>
          <w:u w:val="single"/>
          <w:lang w:val="en-US" w:eastAsia="zh-CN"/>
        </w:rPr>
        <w:t xml:space="preserve">                                  </w:t>
      </w:r>
    </w:p>
    <w:p>
      <w:pPr>
        <w:spacing w:line="480" w:lineRule="auto"/>
        <w:ind w:firstLine="610"/>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地    址：</w:t>
      </w:r>
      <w:r>
        <w:rPr>
          <w:rFonts w:hint="eastAsia" w:asciiTheme="minorEastAsia" w:hAnsiTheme="minorEastAsia" w:cstheme="minorEastAsia"/>
          <w:sz w:val="24"/>
          <w:szCs w:val="24"/>
          <w:highlight w:val="none"/>
          <w:u w:val="single"/>
          <w:lang w:val="en-US" w:eastAsia="zh-CN"/>
        </w:rPr>
        <w:t xml:space="preserve">                                  </w:t>
      </w:r>
    </w:p>
    <w:p>
      <w:pPr>
        <w:spacing w:line="480" w:lineRule="auto"/>
        <w:ind w:firstLine="61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成立时间：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p>
      <w:pPr>
        <w:spacing w:line="480" w:lineRule="auto"/>
        <w:ind w:firstLine="610"/>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经营期限：</w:t>
      </w:r>
      <w:r>
        <w:rPr>
          <w:rFonts w:hint="eastAsia" w:asciiTheme="minorEastAsia" w:hAnsiTheme="minorEastAsia" w:cstheme="minorEastAsia"/>
          <w:sz w:val="24"/>
          <w:szCs w:val="24"/>
          <w:highlight w:val="none"/>
          <w:u w:val="single"/>
          <w:lang w:val="en-US" w:eastAsia="zh-CN"/>
        </w:rPr>
        <w:t xml:space="preserve">                                  </w:t>
      </w:r>
    </w:p>
    <w:p>
      <w:pPr>
        <w:spacing w:line="480" w:lineRule="auto"/>
        <w:ind w:firstLine="610"/>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姓    名：</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性别：</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年龄：</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职务：</w:t>
      </w:r>
      <w:r>
        <w:rPr>
          <w:rFonts w:hint="eastAsia" w:asciiTheme="minorEastAsia" w:hAnsiTheme="minorEastAsia" w:cstheme="minorEastAsia"/>
          <w:sz w:val="24"/>
          <w:szCs w:val="24"/>
          <w:highlight w:val="none"/>
          <w:u w:val="single"/>
        </w:rPr>
        <w:t xml:space="preserve">    </w:t>
      </w:r>
    </w:p>
    <w:p>
      <w:pPr>
        <w:spacing w:line="480" w:lineRule="auto"/>
        <w:ind w:firstLine="61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系</w:t>
      </w:r>
      <w:r>
        <w:rPr>
          <w:rFonts w:hint="eastAsia" w:asciiTheme="minorEastAsia" w:hAnsiTheme="minorEastAsia" w:cstheme="minorEastAsia"/>
          <w:sz w:val="24"/>
          <w:szCs w:val="24"/>
          <w:highlight w:val="none"/>
          <w:u w:val="single"/>
        </w:rPr>
        <w:t xml:space="preserve">       （供应商名称）       </w:t>
      </w:r>
      <w:r>
        <w:rPr>
          <w:rFonts w:hint="eastAsia" w:asciiTheme="minorEastAsia" w:hAnsiTheme="minorEastAsia" w:cstheme="minorEastAsia"/>
          <w:sz w:val="24"/>
          <w:szCs w:val="24"/>
          <w:highlight w:val="none"/>
        </w:rPr>
        <w:t>的法定代表人。</w:t>
      </w:r>
    </w:p>
    <w:p>
      <w:pPr>
        <w:spacing w:line="480" w:lineRule="auto"/>
        <w:ind w:firstLine="57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特此证明。</w:t>
      </w:r>
    </w:p>
    <w:p>
      <w:pPr>
        <w:widowControl/>
        <w:spacing w:line="480" w:lineRule="auto"/>
        <w:jc w:val="right"/>
        <w:rPr>
          <w:rFonts w:asciiTheme="minorEastAsia" w:hAnsiTheme="minorEastAsia" w:cstheme="minorEastAsia"/>
          <w:sz w:val="24"/>
          <w:szCs w:val="24"/>
          <w:highlight w:val="none"/>
        </w:rPr>
      </w:pPr>
    </w:p>
    <w:p>
      <w:pPr>
        <w:widowControl/>
        <w:spacing w:line="480" w:lineRule="auto"/>
        <w:jc w:val="righ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供应商：</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（公章）</w:t>
      </w:r>
    </w:p>
    <w:p>
      <w:pPr>
        <w:widowControl/>
        <w:spacing w:line="480" w:lineRule="auto"/>
        <w:jc w:val="right"/>
        <w:rPr>
          <w:rFonts w:asciiTheme="minorEastAsia" w:hAnsiTheme="minorEastAsia" w:cstheme="minorEastAsia"/>
          <w:b/>
          <w:bCs/>
          <w:sz w:val="24"/>
          <w:szCs w:val="24"/>
          <w:highlight w:val="none"/>
        </w:rPr>
      </w:pPr>
      <w:r>
        <w:rPr>
          <w:rFonts w:hint="eastAsia" w:asciiTheme="minorEastAsia" w:hAnsiTheme="minorEastAsia" w:cstheme="minorEastAsia"/>
          <w:sz w:val="24"/>
          <w:szCs w:val="24"/>
          <w:highlight w:val="none"/>
        </w:rPr>
        <w:t>日期：   年  月  日</w:t>
      </w:r>
    </w:p>
    <w:p>
      <w:pPr>
        <w:spacing w:line="520" w:lineRule="exact"/>
        <w:jc w:val="center"/>
        <w:rPr>
          <w:rFonts w:asciiTheme="minorEastAsia" w:hAnsiTheme="minorEastAsia" w:cstheme="minorEastAsia"/>
          <w:b/>
          <w:bCs/>
          <w:sz w:val="24"/>
          <w:szCs w:val="24"/>
          <w:highlight w:val="none"/>
        </w:rPr>
      </w:pPr>
      <w:r>
        <w:rPr>
          <w:rFonts w:asciiTheme="minorEastAsia" w:hAnsiTheme="minorEastAsia" w:cstheme="minorEastAsia"/>
          <w:b/>
          <w:sz w:val="24"/>
          <w:szCs w:val="24"/>
          <w:highlight w:val="none"/>
          <w:u w:val="single"/>
        </w:rPr>
        <mc:AlternateContent>
          <mc:Choice Requires="wps">
            <w:drawing>
              <wp:anchor distT="0" distB="0" distL="114300" distR="114300" simplePos="0" relativeHeight="251660288" behindDoc="0" locked="0" layoutInCell="1" allowOverlap="1">
                <wp:simplePos x="0" y="0"/>
                <wp:positionH relativeFrom="column">
                  <wp:posOffset>1264285</wp:posOffset>
                </wp:positionH>
                <wp:positionV relativeFrom="paragraph">
                  <wp:posOffset>934085</wp:posOffset>
                </wp:positionV>
                <wp:extent cx="3123565" cy="1654175"/>
                <wp:effectExtent l="4445" t="4445" r="15240" b="17780"/>
                <wp:wrapNone/>
                <wp:docPr id="3" name="矩形 3"/>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_x0000_s1026" o:spid="_x0000_s1026" o:spt="1" style="position:absolute;left:0pt;margin-left:99.55pt;margin-top:73.55pt;height:130.25pt;width:245.95pt;z-index:251660288;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nlngWwUCAAA4BAAADgAAAGRycy9lMm9Eb2MueG1srVPN&#10;jtMwEL4j8Q6W7zRNSxeImu6BUi4IVtrlAVx7kljyn2y3SZ8GiRsPweMgXoOxE0p34dADOSSf4/E3&#10;830zXt8OWpEj+CCtqWk5m1MChlshTVvTzw+7F68pCZEZwZQ1UNMTBHq7ef5s3bsKFrazSoAnSGJC&#10;1buadjG6qigC70CzMLMODG421msWcenbQnjWI7tWxWI+vyl664XzlkMI+Hc7btKJ0V9DaJtGctha&#10;ftBg4sjqQbGIkkInXaCbXG3TAI+fmiZAJKqmqDTmNyZBvE/vYrNmVeuZ6ySfSmDXlPBEk2bSYNIz&#10;1ZZFRg5e/kWlJfc22CbOuNXFKCQ7girK+RNv7jvmIGtBq4M7mx7+Hy3/eLzzRIqaLikxTGPDf375&#10;9uP7V7JM3vQuVBhy7+78tAoIk9Ch8Tp9UQIZsp+ns58wRMLx57JcLFc3K0o47pU3q5flq1ViLf4c&#10;dz7E92A1SaCmHhuWfWTHDyGOob9DUrZglRQ7qVRe+Hb/VnlyZNjcXX4m9kdhypC+pm9Wi1QIw4lt&#10;cFIQaoeqg2lzvkcnwiXxPD//Ik6FbVnoxgIyQwpjlZYRfEYdMPHOCBJPDp01eKFoKkaDoEQB3r+E&#10;cmRkUl0Tid4pk5JAnu7JpdSnsTMJxWE/IGmCeytO2OCD87Lt0OAyC0k7OFC5E9Pwp4m9XCO+vPC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2mJWPYAAAACwEAAA8AAAAAAAAAAQAgAAAAIgAAAGRy&#10;cy9kb3ducmV2LnhtbFBLAQIUABQAAAAIAIdO4kCeWeBbBQIAADgEAAAOAAAAAAAAAAEAIAAAACcB&#10;AABkcnMvZTJvRG9jLnhtbFBLBQYAAAAABgAGAFkBAACeBQAAAAA=&#10;">
                <v:fill on="t" focussize="0,0"/>
                <v:stroke color="#000000" joinstyle="miter"/>
                <v:imagedata o:title=""/>
                <o:lock v:ext="edit" aspectratio="f"/>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mc:Fallback>
        </mc:AlternateContent>
      </w:r>
      <w:r>
        <w:rPr>
          <w:rFonts w:hint="eastAsia" w:asciiTheme="minorEastAsia" w:hAnsiTheme="minorEastAsia" w:cstheme="minorEastAsia"/>
          <w:b/>
          <w:bCs/>
          <w:sz w:val="24"/>
          <w:szCs w:val="24"/>
          <w:highlight w:val="none"/>
        </w:rPr>
        <w:br w:type="page"/>
      </w:r>
    </w:p>
    <w:p>
      <w:pPr>
        <w:pStyle w:val="37"/>
        <w:spacing w:line="360" w:lineRule="auto"/>
        <w:ind w:firstLine="0"/>
        <w:jc w:val="center"/>
        <w:rPr>
          <w:rFonts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lang w:val="en-US" w:eastAsia="zh-CN"/>
        </w:rPr>
        <w:t>三</w:t>
      </w:r>
      <w:r>
        <w:rPr>
          <w:rFonts w:hint="eastAsia" w:asciiTheme="minorEastAsia" w:hAnsiTheme="minorEastAsia" w:cstheme="minorEastAsia"/>
          <w:b/>
          <w:sz w:val="30"/>
          <w:szCs w:val="30"/>
          <w:highlight w:val="none"/>
        </w:rPr>
        <w:t>、法定代表人授权委托书</w:t>
      </w:r>
    </w:p>
    <w:p>
      <w:pPr>
        <w:spacing w:line="480" w:lineRule="auto"/>
        <w:ind w:firstLine="61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本授权委托书声明：我</w:t>
      </w:r>
      <w:r>
        <w:rPr>
          <w:rFonts w:hint="eastAsia" w:asciiTheme="minorEastAsia" w:hAnsiTheme="minorEastAsia" w:cstheme="minorEastAsia"/>
          <w:sz w:val="24"/>
          <w:szCs w:val="24"/>
          <w:highlight w:val="none"/>
          <w:u w:val="single"/>
        </w:rPr>
        <w:t xml:space="preserve"> （姓名） </w:t>
      </w:r>
      <w:r>
        <w:rPr>
          <w:rFonts w:hint="eastAsia" w:asciiTheme="minorEastAsia" w:hAnsiTheme="minorEastAsia" w:cstheme="minorEastAsia"/>
          <w:sz w:val="24"/>
          <w:szCs w:val="24"/>
          <w:highlight w:val="none"/>
        </w:rPr>
        <w:t>系</w:t>
      </w:r>
      <w:r>
        <w:rPr>
          <w:rFonts w:hint="eastAsia" w:asciiTheme="minorEastAsia" w:hAnsiTheme="minorEastAsia" w:cstheme="minorEastAsia"/>
          <w:sz w:val="24"/>
          <w:szCs w:val="24"/>
          <w:highlight w:val="none"/>
          <w:u w:val="single"/>
        </w:rPr>
        <w:t xml:space="preserve">        （供应商名称）    </w:t>
      </w:r>
      <w:r>
        <w:rPr>
          <w:rFonts w:hint="eastAsia" w:asciiTheme="minorEastAsia" w:hAnsiTheme="minorEastAsia" w:cstheme="minorEastAsia"/>
          <w:sz w:val="24"/>
          <w:szCs w:val="24"/>
          <w:highlight w:val="none"/>
        </w:rPr>
        <w:t>的法定代表人，现授权委托</w:t>
      </w:r>
      <w:r>
        <w:rPr>
          <w:rFonts w:hint="eastAsia" w:asciiTheme="minorEastAsia" w:hAnsiTheme="minorEastAsia" w:cstheme="minorEastAsia"/>
          <w:sz w:val="24"/>
          <w:szCs w:val="24"/>
          <w:highlight w:val="none"/>
          <w:u w:val="single"/>
        </w:rPr>
        <w:t xml:space="preserve">      （供应商名称）   </w:t>
      </w:r>
      <w:r>
        <w:rPr>
          <w:rFonts w:hint="eastAsia" w:asciiTheme="minorEastAsia" w:hAnsiTheme="minorEastAsia" w:cstheme="minorEastAsia"/>
          <w:sz w:val="24"/>
          <w:szCs w:val="24"/>
          <w:highlight w:val="none"/>
        </w:rPr>
        <w:t>的</w:t>
      </w:r>
      <w:r>
        <w:rPr>
          <w:rFonts w:hint="eastAsia" w:asciiTheme="minorEastAsia" w:hAnsiTheme="minorEastAsia" w:cstheme="minorEastAsia"/>
          <w:sz w:val="24"/>
          <w:szCs w:val="24"/>
          <w:highlight w:val="none"/>
          <w:u w:val="single"/>
        </w:rPr>
        <w:t xml:space="preserve">  （姓名）    </w:t>
      </w:r>
      <w:r>
        <w:rPr>
          <w:rFonts w:hint="eastAsia" w:asciiTheme="minorEastAsia" w:hAnsiTheme="minorEastAsia" w:cstheme="minorEastAsia"/>
          <w:sz w:val="24"/>
          <w:szCs w:val="24"/>
          <w:highlight w:val="none"/>
        </w:rPr>
        <w:t>为我公司签署本工程的响应文件的唯一委托代理人，我承认代理人全权代表我所签署的本工程的响应文件的内容。</w:t>
      </w:r>
    </w:p>
    <w:p>
      <w:pPr>
        <w:spacing w:line="480" w:lineRule="auto"/>
        <w:ind w:firstLine="61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其授权代表无权转委托，特此委托。</w:t>
      </w:r>
    </w:p>
    <w:p>
      <w:pPr>
        <w:spacing w:line="480" w:lineRule="auto"/>
        <w:ind w:firstLine="610"/>
        <w:rPr>
          <w:rFonts w:hint="eastAsia"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代理人：</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性别：</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年龄：</w:t>
      </w:r>
      <w:r>
        <w:rPr>
          <w:rFonts w:hint="eastAsia" w:asciiTheme="minorEastAsia" w:hAnsiTheme="minorEastAsia" w:cstheme="minorEastAsia"/>
          <w:sz w:val="24"/>
          <w:szCs w:val="24"/>
          <w:highlight w:val="none"/>
          <w:u w:val="single"/>
        </w:rPr>
        <w:t xml:space="preserve">           </w:t>
      </w:r>
    </w:p>
    <w:p>
      <w:pPr>
        <w:spacing w:line="480" w:lineRule="auto"/>
        <w:ind w:firstLine="61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身份证号：</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职务：</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 xml:space="preserve">        </w:t>
      </w:r>
    </w:p>
    <w:p>
      <w:pPr>
        <w:spacing w:line="480" w:lineRule="auto"/>
        <w:ind w:firstLine="61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供应商(公章) ：</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 xml:space="preserve">         </w:t>
      </w:r>
    </w:p>
    <w:p>
      <w:pPr>
        <w:spacing w:line="480" w:lineRule="auto"/>
        <w:ind w:firstLine="61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法定代表人(签字或盖章)：</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 xml:space="preserve">        </w:t>
      </w:r>
    </w:p>
    <w:p>
      <w:pPr>
        <w:spacing w:line="480" w:lineRule="auto"/>
        <w:ind w:firstLine="61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授权委托日期：</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p>
      <w:pPr>
        <w:spacing w:line="480" w:lineRule="auto"/>
        <w:ind w:firstLine="610"/>
        <w:rPr>
          <w:rFonts w:hint="eastAsia" w:asciiTheme="minorEastAsia" w:hAnsiTheme="minorEastAsia" w:cstheme="minorEastAsia"/>
          <w:sz w:val="28"/>
          <w:szCs w:val="28"/>
          <w:highlight w:val="none"/>
        </w:rPr>
      </w:pPr>
    </w:p>
    <w:p>
      <w:pPr>
        <w:spacing w:line="460" w:lineRule="exact"/>
        <w:jc w:val="center"/>
        <w:outlineLvl w:val="9"/>
        <w:rPr>
          <w:rFonts w:asciiTheme="minorEastAsia" w:hAnsiTheme="minorEastAsia" w:cstheme="minorEastAsia"/>
          <w:b/>
          <w:bCs/>
          <w:sz w:val="32"/>
          <w:szCs w:val="32"/>
          <w:highlight w:val="none"/>
        </w:rPr>
      </w:pPr>
      <w:r>
        <w:rPr>
          <w:rFonts w:asciiTheme="minorEastAsia" w:hAnsiTheme="minorEastAsia" w:cstheme="minorEastAsia"/>
          <w:b/>
          <w:sz w:val="32"/>
          <w:highlight w:val="none"/>
          <w:u w:val="single"/>
        </w:rPr>
        <mc:AlternateContent>
          <mc:Choice Requires="wps">
            <w:drawing>
              <wp:anchor distT="0" distB="0" distL="114300" distR="114300" simplePos="0" relativeHeight="251661312" behindDoc="0" locked="0" layoutInCell="1" allowOverlap="1">
                <wp:simplePos x="0" y="0"/>
                <wp:positionH relativeFrom="column">
                  <wp:posOffset>1264285</wp:posOffset>
                </wp:positionH>
                <wp:positionV relativeFrom="paragraph">
                  <wp:posOffset>934085</wp:posOffset>
                </wp:positionV>
                <wp:extent cx="3123565" cy="1654175"/>
                <wp:effectExtent l="4445" t="4445" r="15240" b="17780"/>
                <wp:wrapNone/>
                <wp:docPr id="1" name="矩形 3"/>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矩形 3" o:spid="_x0000_s1026" o:spt="1" style="position:absolute;left:0pt;margin-left:99.55pt;margin-top:73.55pt;height:130.25pt;width:245.95pt;z-index:251661312;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j0mW3AUCAAA4BAAADgAAAGRycy9lMm9Eb2MueG1srVPN&#10;jtMwEL4j8Q6W7zRNSxeImu6BUi4IVtrlAVx7kljyn2y3SZ8GiRsPweMgXoOxE0p34dADOSSf4/E3&#10;830zXt8OWpEj+CCtqWk5m1MChlshTVvTzw+7F68pCZEZwZQ1UNMTBHq7ef5s3bsKFrazSoAnSGJC&#10;1buadjG6qigC70CzMLMODG421msWcenbQnjWI7tWxWI+vyl664XzlkMI+Hc7btKJ0V9DaJtGctha&#10;ftBg4sjqQbGIkkInXaCbXG3TAI+fmiZAJKqmqDTmNyZBvE/vYrNmVeuZ6ySfSmDXlPBEk2bSYNIz&#10;1ZZFRg5e/kWlJfc22CbOuNXFKCQ7girK+RNv7jvmIGtBq4M7mx7+Hy3/eLzzRAqcBEoM09jwn1++&#10;/fj+lSyTN70LFYbcuzs/rQLCJHRovE5flECG7Ofp7CcMkXD8uSwXy9XNihKOe+XN6mX5apVYiz/H&#10;nQ/xPVhNEqipx4ZlH9nxQ4hj6O+QlC1YJcVOKpUXvt2/VZ4cGTZ3l5+J/VGYMqSv6ZvVIhXCcGIb&#10;nBSE2qHqYNqc79GJcEk8z8+/iFNhWxa6sYDMkMJYpWUEn1EHTLwzgsSTQ2cNXiiaitEgKFGA9y+h&#10;HBmZVNdEonfKpCSQp3tyKfVp7ExCcdgPSJrg3ooTNvjgvGw7NLjMQtIODlTuxDT8aWIv14gvL/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2mJWPYAAAACwEAAA8AAAAAAAAAAQAgAAAAIgAAAGRy&#10;cy9kb3ducmV2LnhtbFBLAQIUABQAAAAIAIdO4kCPSZbcBQIAADgEAAAOAAAAAAAAAAEAIAAAACcB&#10;AABkcnMvZTJvRG9jLnhtbFBLBQYAAAAABgAGAFkBAACeBQAAAAA=&#10;">
                <v:fill on="t" focussize="0,0"/>
                <v:stroke color="#000000" joinstyle="miter"/>
                <v:imagedata o:title=""/>
                <o:lock v:ext="edit" aspectratio="f"/>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mc:Fallback>
        </mc:AlternateContent>
      </w:r>
      <w:r>
        <w:rPr>
          <w:rFonts w:hint="eastAsia" w:asciiTheme="minorEastAsia" w:hAnsiTheme="minorEastAsia" w:cstheme="minorEastAsia"/>
          <w:b/>
          <w:sz w:val="32"/>
          <w:highlight w:val="none"/>
        </w:rPr>
        <w:br w:type="page"/>
      </w:r>
    </w:p>
    <w:p>
      <w:pPr>
        <w:pStyle w:val="37"/>
        <w:spacing w:line="360" w:lineRule="auto"/>
        <w:ind w:firstLine="0"/>
        <w:jc w:val="center"/>
        <w:rPr>
          <w:rFonts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lang w:val="en-US" w:eastAsia="zh-CN"/>
        </w:rPr>
        <w:t>四</w:t>
      </w:r>
      <w:r>
        <w:rPr>
          <w:rFonts w:hint="eastAsia" w:asciiTheme="minorEastAsia" w:hAnsiTheme="minorEastAsia" w:cstheme="minorEastAsia"/>
          <w:b/>
          <w:sz w:val="30"/>
          <w:szCs w:val="30"/>
          <w:highlight w:val="none"/>
        </w:rPr>
        <w:t>、供应商基本情况表</w:t>
      </w:r>
    </w:p>
    <w:p>
      <w:pPr>
        <w:rPr>
          <w:rFonts w:asciiTheme="minorEastAsia" w:hAnsiTheme="minorEastAsia" w:cstheme="minorEastAsia"/>
          <w:sz w:val="24"/>
          <w:highlight w:val="none"/>
        </w:rPr>
      </w:pPr>
      <w:r>
        <w:rPr>
          <w:rFonts w:hint="eastAsia" w:asciiTheme="minorEastAsia" w:hAnsiTheme="minorEastAsia" w:cstheme="minorEastAsia"/>
          <w:sz w:val="24"/>
          <w:highlight w:val="none"/>
        </w:rPr>
        <w:t>项目名称：</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10"/>
        <w:gridCol w:w="1510"/>
        <w:gridCol w:w="408"/>
        <w:gridCol w:w="1102"/>
        <w:gridCol w:w="171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单位名称</w:t>
            </w:r>
          </w:p>
        </w:tc>
        <w:tc>
          <w:tcPr>
            <w:tcW w:w="7612" w:type="dxa"/>
            <w:gridSpan w:val="6"/>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单位地址</w:t>
            </w:r>
          </w:p>
        </w:tc>
        <w:tc>
          <w:tcPr>
            <w:tcW w:w="7612" w:type="dxa"/>
            <w:gridSpan w:val="6"/>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主管部门</w:t>
            </w:r>
          </w:p>
        </w:tc>
        <w:tc>
          <w:tcPr>
            <w:tcW w:w="7612" w:type="dxa"/>
            <w:gridSpan w:val="6"/>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成立时间</w:t>
            </w:r>
          </w:p>
        </w:tc>
        <w:tc>
          <w:tcPr>
            <w:tcW w:w="1310" w:type="dxa"/>
            <w:vAlign w:val="center"/>
          </w:tcPr>
          <w:p>
            <w:pPr>
              <w:spacing w:line="360" w:lineRule="exact"/>
              <w:jc w:val="center"/>
              <w:rPr>
                <w:rFonts w:asciiTheme="minorEastAsia" w:hAnsiTheme="minorEastAsia" w:cstheme="minorEastAsia"/>
                <w:bCs/>
                <w:szCs w:val="22"/>
                <w:highlight w:val="none"/>
              </w:rPr>
            </w:pPr>
          </w:p>
        </w:tc>
        <w:tc>
          <w:tcPr>
            <w:tcW w:w="1918" w:type="dxa"/>
            <w:gridSpan w:val="2"/>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统一社会信用代码</w:t>
            </w:r>
          </w:p>
        </w:tc>
        <w:tc>
          <w:tcPr>
            <w:tcW w:w="4384" w:type="dxa"/>
            <w:gridSpan w:val="3"/>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单位性质</w:t>
            </w:r>
          </w:p>
        </w:tc>
        <w:tc>
          <w:tcPr>
            <w:tcW w:w="1310" w:type="dxa"/>
            <w:vAlign w:val="center"/>
          </w:tcPr>
          <w:p>
            <w:pPr>
              <w:spacing w:line="360" w:lineRule="exact"/>
              <w:jc w:val="center"/>
              <w:rPr>
                <w:rFonts w:asciiTheme="minorEastAsia" w:hAnsiTheme="minorEastAsia" w:cstheme="minorEastAsia"/>
                <w:bCs/>
                <w:szCs w:val="22"/>
                <w:highlight w:val="none"/>
              </w:rPr>
            </w:pPr>
          </w:p>
        </w:tc>
        <w:tc>
          <w:tcPr>
            <w:tcW w:w="1918" w:type="dxa"/>
            <w:gridSpan w:val="2"/>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开户银行及账号</w:t>
            </w:r>
          </w:p>
        </w:tc>
        <w:tc>
          <w:tcPr>
            <w:tcW w:w="1102" w:type="dxa"/>
            <w:vAlign w:val="center"/>
          </w:tcPr>
          <w:p>
            <w:pPr>
              <w:spacing w:line="360" w:lineRule="exact"/>
              <w:jc w:val="center"/>
              <w:rPr>
                <w:rFonts w:asciiTheme="minorEastAsia" w:hAnsiTheme="minorEastAsia" w:cstheme="minorEastAsia"/>
                <w:bCs/>
                <w:szCs w:val="22"/>
                <w:highlight w:val="none"/>
              </w:rPr>
            </w:pPr>
          </w:p>
        </w:tc>
        <w:tc>
          <w:tcPr>
            <w:tcW w:w="1715"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注册资金（万元）</w:t>
            </w:r>
          </w:p>
        </w:tc>
        <w:tc>
          <w:tcPr>
            <w:tcW w:w="1567" w:type="dxa"/>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联系人</w:t>
            </w:r>
          </w:p>
        </w:tc>
        <w:tc>
          <w:tcPr>
            <w:tcW w:w="1310" w:type="dxa"/>
            <w:vMerge w:val="restart"/>
            <w:vAlign w:val="center"/>
          </w:tcPr>
          <w:p>
            <w:pPr>
              <w:spacing w:line="360" w:lineRule="exact"/>
              <w:jc w:val="center"/>
              <w:rPr>
                <w:rFonts w:asciiTheme="minorEastAsia" w:hAnsiTheme="minorEastAsia" w:cstheme="minorEastAsia"/>
                <w:bCs/>
                <w:szCs w:val="22"/>
                <w:highlight w:val="none"/>
              </w:rPr>
            </w:pPr>
          </w:p>
        </w:tc>
        <w:tc>
          <w:tcPr>
            <w:tcW w:w="1918" w:type="dxa"/>
            <w:gridSpan w:val="2"/>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电话</w:t>
            </w:r>
          </w:p>
        </w:tc>
        <w:tc>
          <w:tcPr>
            <w:tcW w:w="4384" w:type="dxa"/>
            <w:gridSpan w:val="3"/>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highlight w:val="none"/>
              </w:rPr>
            </w:pPr>
          </w:p>
        </w:tc>
        <w:tc>
          <w:tcPr>
            <w:tcW w:w="1310" w:type="dxa"/>
            <w:vMerge w:val="continue"/>
            <w:vAlign w:val="center"/>
          </w:tcPr>
          <w:p>
            <w:pPr>
              <w:spacing w:line="360" w:lineRule="exact"/>
              <w:jc w:val="center"/>
              <w:rPr>
                <w:rFonts w:asciiTheme="minorEastAsia" w:hAnsiTheme="minorEastAsia" w:cstheme="minorEastAsia"/>
                <w:bCs/>
                <w:szCs w:val="22"/>
                <w:highlight w:val="none"/>
              </w:rPr>
            </w:pPr>
          </w:p>
        </w:tc>
        <w:tc>
          <w:tcPr>
            <w:tcW w:w="1918" w:type="dxa"/>
            <w:gridSpan w:val="2"/>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传真</w:t>
            </w:r>
          </w:p>
        </w:tc>
        <w:tc>
          <w:tcPr>
            <w:tcW w:w="4384" w:type="dxa"/>
            <w:gridSpan w:val="3"/>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职工概况</w:t>
            </w:r>
          </w:p>
        </w:tc>
        <w:tc>
          <w:tcPr>
            <w:tcW w:w="1310"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职工总数</w:t>
            </w:r>
          </w:p>
        </w:tc>
        <w:tc>
          <w:tcPr>
            <w:tcW w:w="6302" w:type="dxa"/>
            <w:gridSpan w:val="5"/>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highlight w:val="none"/>
              </w:rPr>
            </w:pPr>
          </w:p>
        </w:tc>
        <w:tc>
          <w:tcPr>
            <w:tcW w:w="1310"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专职技术</w:t>
            </w:r>
          </w:p>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人员人数</w:t>
            </w:r>
          </w:p>
        </w:tc>
        <w:tc>
          <w:tcPr>
            <w:tcW w:w="6302" w:type="dxa"/>
            <w:gridSpan w:val="5"/>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highlight w:val="none"/>
              </w:rPr>
            </w:pPr>
          </w:p>
        </w:tc>
        <w:tc>
          <w:tcPr>
            <w:tcW w:w="7612" w:type="dxa"/>
            <w:gridSpan w:val="6"/>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highlight w:val="none"/>
              </w:rPr>
            </w:pPr>
          </w:p>
        </w:tc>
        <w:tc>
          <w:tcPr>
            <w:tcW w:w="1310"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姓名</w:t>
            </w:r>
          </w:p>
        </w:tc>
        <w:tc>
          <w:tcPr>
            <w:tcW w:w="1510"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职务及</w:t>
            </w:r>
          </w:p>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职称</w:t>
            </w:r>
          </w:p>
        </w:tc>
        <w:tc>
          <w:tcPr>
            <w:tcW w:w="1510" w:type="dxa"/>
            <w:gridSpan w:val="2"/>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年龄</w:t>
            </w:r>
          </w:p>
        </w:tc>
        <w:tc>
          <w:tcPr>
            <w:tcW w:w="1715"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专业</w:t>
            </w:r>
          </w:p>
        </w:tc>
        <w:tc>
          <w:tcPr>
            <w:tcW w:w="1567" w:type="dxa"/>
            <w:vAlign w:val="center"/>
          </w:tcPr>
          <w:p>
            <w:pPr>
              <w:spacing w:line="360" w:lineRule="exact"/>
              <w:jc w:val="center"/>
              <w:rPr>
                <w:rFonts w:asciiTheme="minorEastAsia" w:hAnsiTheme="minorEastAsia" w:cstheme="minorEastAsia"/>
                <w:bCs/>
                <w:szCs w:val="22"/>
                <w:highlight w:val="none"/>
              </w:rPr>
            </w:pPr>
            <w:r>
              <w:rPr>
                <w:rFonts w:hint="eastAsia" w:asciiTheme="minorEastAsia" w:hAnsiTheme="minorEastAsia" w:cstheme="minorEastAsia"/>
                <w:bCs/>
                <w:szCs w:val="22"/>
                <w:highlight w:val="none"/>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highlight w:val="none"/>
              </w:rPr>
            </w:pPr>
          </w:p>
        </w:tc>
        <w:tc>
          <w:tcPr>
            <w:tcW w:w="1310" w:type="dxa"/>
            <w:vAlign w:val="center"/>
          </w:tcPr>
          <w:p>
            <w:pPr>
              <w:spacing w:line="360" w:lineRule="exact"/>
              <w:jc w:val="center"/>
              <w:rPr>
                <w:rFonts w:asciiTheme="minorEastAsia" w:hAnsiTheme="minorEastAsia" w:cstheme="minorEastAsia"/>
                <w:bCs/>
                <w:szCs w:val="22"/>
                <w:highlight w:val="none"/>
              </w:rPr>
            </w:pPr>
          </w:p>
        </w:tc>
        <w:tc>
          <w:tcPr>
            <w:tcW w:w="1510" w:type="dxa"/>
            <w:vAlign w:val="center"/>
          </w:tcPr>
          <w:p>
            <w:pPr>
              <w:spacing w:line="360" w:lineRule="exact"/>
              <w:jc w:val="center"/>
              <w:rPr>
                <w:rFonts w:asciiTheme="minorEastAsia" w:hAnsiTheme="minorEastAsia" w:cstheme="minorEastAsia"/>
                <w:bCs/>
                <w:szCs w:val="22"/>
                <w:highlight w:val="none"/>
              </w:rPr>
            </w:pPr>
          </w:p>
        </w:tc>
        <w:tc>
          <w:tcPr>
            <w:tcW w:w="1510" w:type="dxa"/>
            <w:gridSpan w:val="2"/>
            <w:vAlign w:val="center"/>
          </w:tcPr>
          <w:p>
            <w:pPr>
              <w:spacing w:line="360" w:lineRule="exact"/>
              <w:jc w:val="center"/>
              <w:rPr>
                <w:rFonts w:asciiTheme="minorEastAsia" w:hAnsiTheme="minorEastAsia" w:cstheme="minorEastAsia"/>
                <w:bCs/>
                <w:szCs w:val="22"/>
                <w:highlight w:val="none"/>
              </w:rPr>
            </w:pPr>
          </w:p>
        </w:tc>
        <w:tc>
          <w:tcPr>
            <w:tcW w:w="1715" w:type="dxa"/>
            <w:vAlign w:val="center"/>
          </w:tcPr>
          <w:p>
            <w:pPr>
              <w:spacing w:line="360" w:lineRule="exact"/>
              <w:jc w:val="center"/>
              <w:rPr>
                <w:rFonts w:asciiTheme="minorEastAsia" w:hAnsiTheme="minorEastAsia" w:cstheme="minorEastAsia"/>
                <w:bCs/>
                <w:szCs w:val="22"/>
                <w:highlight w:val="none"/>
              </w:rPr>
            </w:pPr>
          </w:p>
        </w:tc>
        <w:tc>
          <w:tcPr>
            <w:tcW w:w="1567" w:type="dxa"/>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highlight w:val="none"/>
              </w:rPr>
            </w:pPr>
          </w:p>
        </w:tc>
        <w:tc>
          <w:tcPr>
            <w:tcW w:w="1310" w:type="dxa"/>
            <w:vAlign w:val="center"/>
          </w:tcPr>
          <w:p>
            <w:pPr>
              <w:spacing w:line="360" w:lineRule="exact"/>
              <w:jc w:val="center"/>
              <w:rPr>
                <w:rFonts w:asciiTheme="minorEastAsia" w:hAnsiTheme="minorEastAsia" w:cstheme="minorEastAsia"/>
                <w:bCs/>
                <w:szCs w:val="22"/>
                <w:highlight w:val="none"/>
              </w:rPr>
            </w:pPr>
          </w:p>
        </w:tc>
        <w:tc>
          <w:tcPr>
            <w:tcW w:w="1510" w:type="dxa"/>
            <w:vAlign w:val="center"/>
          </w:tcPr>
          <w:p>
            <w:pPr>
              <w:spacing w:line="360" w:lineRule="exact"/>
              <w:jc w:val="center"/>
              <w:rPr>
                <w:rFonts w:asciiTheme="minorEastAsia" w:hAnsiTheme="minorEastAsia" w:cstheme="minorEastAsia"/>
                <w:bCs/>
                <w:szCs w:val="22"/>
                <w:highlight w:val="none"/>
              </w:rPr>
            </w:pPr>
          </w:p>
        </w:tc>
        <w:tc>
          <w:tcPr>
            <w:tcW w:w="1510" w:type="dxa"/>
            <w:gridSpan w:val="2"/>
            <w:vAlign w:val="center"/>
          </w:tcPr>
          <w:p>
            <w:pPr>
              <w:spacing w:line="360" w:lineRule="exact"/>
              <w:jc w:val="center"/>
              <w:rPr>
                <w:rFonts w:asciiTheme="minorEastAsia" w:hAnsiTheme="minorEastAsia" w:cstheme="minorEastAsia"/>
                <w:bCs/>
                <w:szCs w:val="22"/>
                <w:highlight w:val="none"/>
              </w:rPr>
            </w:pPr>
          </w:p>
        </w:tc>
        <w:tc>
          <w:tcPr>
            <w:tcW w:w="1715" w:type="dxa"/>
            <w:vAlign w:val="center"/>
          </w:tcPr>
          <w:p>
            <w:pPr>
              <w:spacing w:line="360" w:lineRule="exact"/>
              <w:jc w:val="center"/>
              <w:rPr>
                <w:rFonts w:asciiTheme="minorEastAsia" w:hAnsiTheme="minorEastAsia" w:cstheme="minorEastAsia"/>
                <w:bCs/>
                <w:szCs w:val="22"/>
                <w:highlight w:val="none"/>
              </w:rPr>
            </w:pPr>
          </w:p>
        </w:tc>
        <w:tc>
          <w:tcPr>
            <w:tcW w:w="1567" w:type="dxa"/>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highlight w:val="none"/>
              </w:rPr>
            </w:pPr>
          </w:p>
        </w:tc>
        <w:tc>
          <w:tcPr>
            <w:tcW w:w="1310" w:type="dxa"/>
            <w:vAlign w:val="center"/>
          </w:tcPr>
          <w:p>
            <w:pPr>
              <w:spacing w:line="360" w:lineRule="exact"/>
              <w:jc w:val="center"/>
              <w:rPr>
                <w:rFonts w:asciiTheme="minorEastAsia" w:hAnsiTheme="minorEastAsia" w:cstheme="minorEastAsia"/>
                <w:bCs/>
                <w:szCs w:val="22"/>
                <w:highlight w:val="none"/>
              </w:rPr>
            </w:pPr>
          </w:p>
        </w:tc>
        <w:tc>
          <w:tcPr>
            <w:tcW w:w="1510" w:type="dxa"/>
            <w:vAlign w:val="center"/>
          </w:tcPr>
          <w:p>
            <w:pPr>
              <w:spacing w:line="360" w:lineRule="exact"/>
              <w:jc w:val="center"/>
              <w:rPr>
                <w:rFonts w:asciiTheme="minorEastAsia" w:hAnsiTheme="minorEastAsia" w:cstheme="minorEastAsia"/>
                <w:bCs/>
                <w:szCs w:val="22"/>
                <w:highlight w:val="none"/>
              </w:rPr>
            </w:pPr>
          </w:p>
        </w:tc>
        <w:tc>
          <w:tcPr>
            <w:tcW w:w="1510" w:type="dxa"/>
            <w:gridSpan w:val="2"/>
            <w:vAlign w:val="center"/>
          </w:tcPr>
          <w:p>
            <w:pPr>
              <w:spacing w:line="360" w:lineRule="exact"/>
              <w:jc w:val="center"/>
              <w:rPr>
                <w:rFonts w:asciiTheme="minorEastAsia" w:hAnsiTheme="minorEastAsia" w:cstheme="minorEastAsia"/>
                <w:bCs/>
                <w:szCs w:val="22"/>
                <w:highlight w:val="none"/>
              </w:rPr>
            </w:pPr>
          </w:p>
        </w:tc>
        <w:tc>
          <w:tcPr>
            <w:tcW w:w="1715" w:type="dxa"/>
            <w:vAlign w:val="center"/>
          </w:tcPr>
          <w:p>
            <w:pPr>
              <w:spacing w:line="360" w:lineRule="exact"/>
              <w:jc w:val="center"/>
              <w:rPr>
                <w:rFonts w:asciiTheme="minorEastAsia" w:hAnsiTheme="minorEastAsia" w:cstheme="minorEastAsia"/>
                <w:bCs/>
                <w:szCs w:val="22"/>
                <w:highlight w:val="none"/>
              </w:rPr>
            </w:pPr>
          </w:p>
        </w:tc>
        <w:tc>
          <w:tcPr>
            <w:tcW w:w="1567" w:type="dxa"/>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highlight w:val="none"/>
              </w:rPr>
            </w:pPr>
          </w:p>
        </w:tc>
        <w:tc>
          <w:tcPr>
            <w:tcW w:w="1310" w:type="dxa"/>
            <w:vAlign w:val="center"/>
          </w:tcPr>
          <w:p>
            <w:pPr>
              <w:spacing w:line="360" w:lineRule="exact"/>
              <w:jc w:val="center"/>
              <w:rPr>
                <w:rFonts w:asciiTheme="minorEastAsia" w:hAnsiTheme="minorEastAsia" w:cstheme="minorEastAsia"/>
                <w:bCs/>
                <w:szCs w:val="22"/>
                <w:highlight w:val="none"/>
              </w:rPr>
            </w:pPr>
          </w:p>
        </w:tc>
        <w:tc>
          <w:tcPr>
            <w:tcW w:w="1510" w:type="dxa"/>
            <w:vAlign w:val="center"/>
          </w:tcPr>
          <w:p>
            <w:pPr>
              <w:spacing w:line="360" w:lineRule="exact"/>
              <w:jc w:val="center"/>
              <w:rPr>
                <w:rFonts w:asciiTheme="minorEastAsia" w:hAnsiTheme="minorEastAsia" w:cstheme="minorEastAsia"/>
                <w:bCs/>
                <w:szCs w:val="22"/>
                <w:highlight w:val="none"/>
              </w:rPr>
            </w:pPr>
          </w:p>
        </w:tc>
        <w:tc>
          <w:tcPr>
            <w:tcW w:w="1510" w:type="dxa"/>
            <w:gridSpan w:val="2"/>
            <w:vAlign w:val="center"/>
          </w:tcPr>
          <w:p>
            <w:pPr>
              <w:spacing w:line="360" w:lineRule="exact"/>
              <w:jc w:val="center"/>
              <w:rPr>
                <w:rFonts w:asciiTheme="minorEastAsia" w:hAnsiTheme="minorEastAsia" w:cstheme="minorEastAsia"/>
                <w:bCs/>
                <w:szCs w:val="22"/>
                <w:highlight w:val="none"/>
              </w:rPr>
            </w:pPr>
          </w:p>
        </w:tc>
        <w:tc>
          <w:tcPr>
            <w:tcW w:w="1715" w:type="dxa"/>
            <w:vAlign w:val="center"/>
          </w:tcPr>
          <w:p>
            <w:pPr>
              <w:spacing w:line="360" w:lineRule="exact"/>
              <w:jc w:val="center"/>
              <w:rPr>
                <w:rFonts w:asciiTheme="minorEastAsia" w:hAnsiTheme="minorEastAsia" w:cstheme="minorEastAsia"/>
                <w:bCs/>
                <w:szCs w:val="22"/>
                <w:highlight w:val="none"/>
              </w:rPr>
            </w:pPr>
          </w:p>
        </w:tc>
        <w:tc>
          <w:tcPr>
            <w:tcW w:w="1567" w:type="dxa"/>
            <w:vAlign w:val="center"/>
          </w:tcPr>
          <w:p>
            <w:pPr>
              <w:spacing w:line="360" w:lineRule="exact"/>
              <w:jc w:val="center"/>
              <w:rPr>
                <w:rFonts w:asciiTheme="minorEastAsia" w:hAnsiTheme="minorEastAsia" w:cstheme="minorEastAsia"/>
                <w:bCs/>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spacing w:line="360" w:lineRule="exact"/>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单位简介：（</w:t>
            </w:r>
            <w:r>
              <w:rPr>
                <w:rFonts w:hint="eastAsia" w:asciiTheme="minorEastAsia" w:hAnsiTheme="minorEastAsia" w:cstheme="minorEastAsia"/>
                <w:szCs w:val="21"/>
                <w:highlight w:val="none"/>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spacing w:line="360" w:lineRule="exact"/>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供应商关联企业情况：（包括但不限于与供应商法定代表人为同一人或者存在控股、管理关系的不同单位）</w:t>
            </w:r>
          </w:p>
        </w:tc>
      </w:tr>
    </w:tbl>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附：营业执照等相关证件复印件。</w:t>
      </w:r>
    </w:p>
    <w:p>
      <w:pPr>
        <w:widowControl/>
        <w:spacing w:line="48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供应商：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（公章）</w:t>
      </w:r>
    </w:p>
    <w:p>
      <w:pPr>
        <w:widowControl/>
        <w:spacing w:line="48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法定代表人或</w:t>
      </w:r>
      <w:r>
        <w:rPr>
          <w:rFonts w:hint="eastAsia" w:asciiTheme="minorEastAsia" w:hAnsiTheme="minorEastAsia" w:cstheme="minorEastAsia"/>
          <w:sz w:val="24"/>
          <w:highlight w:val="none"/>
          <w:lang w:val="en-US" w:eastAsia="zh-CN"/>
        </w:rPr>
        <w:t>其</w:t>
      </w:r>
      <w:r>
        <w:rPr>
          <w:rFonts w:hint="eastAsia" w:asciiTheme="minorEastAsia" w:hAnsiTheme="minorEastAsia" w:cstheme="minorEastAsia"/>
          <w:sz w:val="24"/>
          <w:highlight w:val="none"/>
        </w:rPr>
        <w:t>授权委托人：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（签字或盖章）</w:t>
      </w:r>
    </w:p>
    <w:p>
      <w:pPr>
        <w:spacing w:line="480" w:lineRule="auto"/>
        <w:ind w:firstLine="570"/>
        <w:jc w:val="right"/>
        <w:rPr>
          <w:rFonts w:asciiTheme="minorEastAsia" w:hAnsiTheme="minorEastAsia" w:cstheme="minorEastAsia"/>
          <w:b/>
          <w:bCs/>
          <w:sz w:val="32"/>
          <w:szCs w:val="32"/>
          <w:highlight w:val="none"/>
        </w:rPr>
      </w:pPr>
      <w:r>
        <w:rPr>
          <w:rFonts w:hint="eastAsia" w:asciiTheme="minorEastAsia" w:hAnsiTheme="minorEastAsia" w:cstheme="minorEastAsia"/>
          <w:sz w:val="24"/>
          <w:highlight w:val="none"/>
        </w:rPr>
        <w:t>日期：  年  月  日</w:t>
      </w:r>
    </w:p>
    <w:p>
      <w:pPr>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br w:type="page"/>
      </w:r>
    </w:p>
    <w:p>
      <w:pPr>
        <w:pStyle w:val="37"/>
        <w:spacing w:line="360" w:lineRule="auto"/>
        <w:ind w:firstLine="0"/>
        <w:jc w:val="center"/>
        <w:rPr>
          <w:rFonts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lang w:val="en-US" w:eastAsia="zh-CN"/>
        </w:rPr>
        <w:t>五</w:t>
      </w:r>
      <w:r>
        <w:rPr>
          <w:rFonts w:hint="eastAsia" w:asciiTheme="minorEastAsia" w:hAnsiTheme="minorEastAsia" w:cstheme="minorEastAsia"/>
          <w:b/>
          <w:sz w:val="30"/>
          <w:szCs w:val="30"/>
          <w:highlight w:val="none"/>
        </w:rPr>
        <w:t>、20</w:t>
      </w:r>
      <w:r>
        <w:rPr>
          <w:rFonts w:hint="eastAsia" w:asciiTheme="minorEastAsia" w:hAnsiTheme="minorEastAsia" w:cstheme="minorEastAsia"/>
          <w:b/>
          <w:sz w:val="30"/>
          <w:szCs w:val="30"/>
          <w:highlight w:val="none"/>
          <w:lang w:val="en-US" w:eastAsia="zh-CN"/>
        </w:rPr>
        <w:t>21</w:t>
      </w:r>
      <w:r>
        <w:rPr>
          <w:rFonts w:hint="eastAsia" w:asciiTheme="minorEastAsia" w:hAnsiTheme="minorEastAsia" w:cstheme="minorEastAsia"/>
          <w:b/>
          <w:sz w:val="30"/>
          <w:szCs w:val="30"/>
          <w:highlight w:val="none"/>
        </w:rPr>
        <w:t>年1月1日以来同类项目业绩表</w:t>
      </w:r>
    </w:p>
    <w:tbl>
      <w:tblPr>
        <w:tblStyle w:val="21"/>
        <w:tblpPr w:leftFromText="181" w:rightFromText="181" w:vertAnchor="text" w:horzAnchor="page" w:tblpX="1492" w:tblpY="1"/>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10"/>
        <w:gridCol w:w="1260"/>
        <w:gridCol w:w="1860"/>
        <w:gridCol w:w="183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1" w:type="dxa"/>
            <w:vAlign w:val="center"/>
          </w:tcPr>
          <w:p>
            <w:pPr>
              <w:tabs>
                <w:tab w:val="left" w:pos="0"/>
              </w:tabs>
              <w:jc w:val="center"/>
              <w:rPr>
                <w:rFonts w:asciiTheme="minorEastAsia" w:hAnsiTheme="minorEastAsia" w:cstheme="minorEastAsia"/>
                <w:szCs w:val="22"/>
                <w:highlight w:val="none"/>
              </w:rPr>
            </w:pPr>
            <w:r>
              <w:rPr>
                <w:rFonts w:hint="eastAsia" w:asciiTheme="minorEastAsia" w:hAnsiTheme="minorEastAsia" w:cstheme="minorEastAsia"/>
                <w:szCs w:val="22"/>
                <w:highlight w:val="none"/>
              </w:rPr>
              <w:t>序号</w:t>
            </w:r>
          </w:p>
        </w:tc>
        <w:tc>
          <w:tcPr>
            <w:tcW w:w="1510" w:type="dxa"/>
            <w:vAlign w:val="center"/>
          </w:tcPr>
          <w:p>
            <w:pPr>
              <w:tabs>
                <w:tab w:val="left" w:pos="0"/>
              </w:tabs>
              <w:jc w:val="center"/>
              <w:rPr>
                <w:rFonts w:asciiTheme="minorEastAsia" w:hAnsiTheme="minorEastAsia" w:cstheme="minorEastAsia"/>
                <w:szCs w:val="22"/>
                <w:highlight w:val="none"/>
              </w:rPr>
            </w:pPr>
            <w:r>
              <w:rPr>
                <w:rFonts w:hint="eastAsia" w:asciiTheme="minorEastAsia" w:hAnsiTheme="minorEastAsia" w:cstheme="minorEastAsia"/>
                <w:szCs w:val="22"/>
                <w:highlight w:val="none"/>
              </w:rPr>
              <w:t>合同签订时间</w:t>
            </w:r>
          </w:p>
        </w:tc>
        <w:tc>
          <w:tcPr>
            <w:tcW w:w="1260" w:type="dxa"/>
            <w:vAlign w:val="center"/>
          </w:tcPr>
          <w:p>
            <w:pPr>
              <w:tabs>
                <w:tab w:val="left" w:pos="0"/>
              </w:tabs>
              <w:jc w:val="center"/>
              <w:rPr>
                <w:rFonts w:asciiTheme="minorEastAsia" w:hAnsiTheme="minorEastAsia" w:cstheme="minorEastAsia"/>
                <w:szCs w:val="22"/>
                <w:highlight w:val="none"/>
              </w:rPr>
            </w:pPr>
            <w:r>
              <w:rPr>
                <w:rFonts w:hint="eastAsia" w:asciiTheme="minorEastAsia" w:hAnsiTheme="minorEastAsia" w:cstheme="minorEastAsia"/>
                <w:szCs w:val="22"/>
                <w:highlight w:val="none"/>
              </w:rPr>
              <w:t>项目名称</w:t>
            </w:r>
          </w:p>
        </w:tc>
        <w:tc>
          <w:tcPr>
            <w:tcW w:w="1860" w:type="dxa"/>
            <w:vAlign w:val="center"/>
          </w:tcPr>
          <w:p>
            <w:pPr>
              <w:tabs>
                <w:tab w:val="left" w:pos="0"/>
              </w:tabs>
              <w:jc w:val="center"/>
              <w:rPr>
                <w:rFonts w:asciiTheme="minorEastAsia" w:hAnsiTheme="minorEastAsia" w:cstheme="minorEastAsia"/>
                <w:szCs w:val="22"/>
                <w:highlight w:val="none"/>
              </w:rPr>
            </w:pPr>
            <w:r>
              <w:rPr>
                <w:rFonts w:hint="eastAsia" w:asciiTheme="minorEastAsia" w:hAnsiTheme="minorEastAsia" w:cstheme="minorEastAsia"/>
                <w:szCs w:val="22"/>
                <w:highlight w:val="none"/>
              </w:rPr>
              <w:t>合同总金额（元）</w:t>
            </w:r>
          </w:p>
        </w:tc>
        <w:tc>
          <w:tcPr>
            <w:tcW w:w="1830" w:type="dxa"/>
            <w:vAlign w:val="center"/>
          </w:tcPr>
          <w:p>
            <w:pPr>
              <w:tabs>
                <w:tab w:val="left" w:pos="0"/>
              </w:tabs>
              <w:jc w:val="center"/>
              <w:rPr>
                <w:rFonts w:asciiTheme="minorEastAsia" w:hAnsiTheme="minorEastAsia" w:cstheme="minorEastAsia"/>
                <w:szCs w:val="22"/>
                <w:highlight w:val="none"/>
              </w:rPr>
            </w:pPr>
            <w:r>
              <w:rPr>
                <w:rFonts w:hint="eastAsia" w:asciiTheme="minorEastAsia" w:hAnsiTheme="minorEastAsia" w:cstheme="minorEastAsia"/>
                <w:szCs w:val="22"/>
                <w:highlight w:val="none"/>
              </w:rPr>
              <w:t>项目主要内容</w:t>
            </w:r>
          </w:p>
        </w:tc>
        <w:tc>
          <w:tcPr>
            <w:tcW w:w="2088" w:type="dxa"/>
            <w:vAlign w:val="center"/>
          </w:tcPr>
          <w:p>
            <w:pPr>
              <w:tabs>
                <w:tab w:val="left" w:pos="0"/>
              </w:tabs>
              <w:jc w:val="center"/>
              <w:rPr>
                <w:rFonts w:asciiTheme="minorEastAsia" w:hAnsiTheme="minorEastAsia" w:cstheme="minorEastAsia"/>
                <w:szCs w:val="22"/>
                <w:highlight w:val="none"/>
              </w:rPr>
            </w:pPr>
            <w:r>
              <w:rPr>
                <w:rFonts w:hint="eastAsia" w:asciiTheme="minorEastAsia" w:hAnsiTheme="minorEastAsia" w:cstheme="minorEastAsia"/>
                <w:szCs w:val="22"/>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Align w:val="center"/>
          </w:tcPr>
          <w:p>
            <w:pPr>
              <w:jc w:val="center"/>
              <w:rPr>
                <w:highlight w:val="none"/>
              </w:rPr>
            </w:pPr>
          </w:p>
        </w:tc>
        <w:tc>
          <w:tcPr>
            <w:tcW w:w="1510" w:type="dxa"/>
            <w:vAlign w:val="center"/>
          </w:tcPr>
          <w:p>
            <w:pPr>
              <w:jc w:val="center"/>
              <w:rPr>
                <w:highlight w:val="none"/>
              </w:rPr>
            </w:pPr>
          </w:p>
        </w:tc>
        <w:tc>
          <w:tcPr>
            <w:tcW w:w="1260" w:type="dxa"/>
            <w:vAlign w:val="center"/>
          </w:tcPr>
          <w:p>
            <w:pPr>
              <w:jc w:val="center"/>
              <w:rPr>
                <w:highlight w:val="none"/>
              </w:rPr>
            </w:pPr>
          </w:p>
        </w:tc>
        <w:tc>
          <w:tcPr>
            <w:tcW w:w="1860" w:type="dxa"/>
            <w:vAlign w:val="center"/>
          </w:tcPr>
          <w:p>
            <w:pPr>
              <w:jc w:val="center"/>
              <w:rPr>
                <w:highlight w:val="none"/>
              </w:rPr>
            </w:pPr>
          </w:p>
        </w:tc>
        <w:tc>
          <w:tcPr>
            <w:tcW w:w="1830" w:type="dxa"/>
            <w:vAlign w:val="center"/>
          </w:tcPr>
          <w:p>
            <w:pPr>
              <w:jc w:val="center"/>
              <w:rPr>
                <w:highlight w:val="none"/>
              </w:rPr>
            </w:pPr>
          </w:p>
        </w:tc>
        <w:tc>
          <w:tcPr>
            <w:tcW w:w="2088"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51" w:type="dxa"/>
            <w:vAlign w:val="center"/>
          </w:tcPr>
          <w:p>
            <w:pPr>
              <w:jc w:val="center"/>
              <w:rPr>
                <w:highlight w:val="none"/>
              </w:rPr>
            </w:pPr>
          </w:p>
        </w:tc>
        <w:tc>
          <w:tcPr>
            <w:tcW w:w="1510" w:type="dxa"/>
            <w:vAlign w:val="center"/>
          </w:tcPr>
          <w:p>
            <w:pPr>
              <w:jc w:val="center"/>
              <w:rPr>
                <w:highlight w:val="none"/>
              </w:rPr>
            </w:pPr>
          </w:p>
        </w:tc>
        <w:tc>
          <w:tcPr>
            <w:tcW w:w="1260" w:type="dxa"/>
            <w:vAlign w:val="center"/>
          </w:tcPr>
          <w:p>
            <w:pPr>
              <w:jc w:val="center"/>
              <w:rPr>
                <w:highlight w:val="none"/>
              </w:rPr>
            </w:pPr>
          </w:p>
        </w:tc>
        <w:tc>
          <w:tcPr>
            <w:tcW w:w="1860" w:type="dxa"/>
            <w:vAlign w:val="center"/>
          </w:tcPr>
          <w:p>
            <w:pPr>
              <w:jc w:val="center"/>
              <w:rPr>
                <w:highlight w:val="none"/>
              </w:rPr>
            </w:pPr>
          </w:p>
        </w:tc>
        <w:tc>
          <w:tcPr>
            <w:tcW w:w="1830" w:type="dxa"/>
            <w:vAlign w:val="center"/>
          </w:tcPr>
          <w:p>
            <w:pPr>
              <w:jc w:val="center"/>
              <w:rPr>
                <w:highlight w:val="none"/>
              </w:rPr>
            </w:pPr>
          </w:p>
        </w:tc>
        <w:tc>
          <w:tcPr>
            <w:tcW w:w="2088"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51" w:type="dxa"/>
            <w:vAlign w:val="center"/>
          </w:tcPr>
          <w:p>
            <w:pPr>
              <w:jc w:val="center"/>
              <w:rPr>
                <w:highlight w:val="none"/>
              </w:rPr>
            </w:pPr>
          </w:p>
        </w:tc>
        <w:tc>
          <w:tcPr>
            <w:tcW w:w="1510" w:type="dxa"/>
            <w:vAlign w:val="center"/>
          </w:tcPr>
          <w:p>
            <w:pPr>
              <w:jc w:val="center"/>
              <w:rPr>
                <w:highlight w:val="none"/>
              </w:rPr>
            </w:pPr>
          </w:p>
        </w:tc>
        <w:tc>
          <w:tcPr>
            <w:tcW w:w="1260" w:type="dxa"/>
            <w:vAlign w:val="center"/>
          </w:tcPr>
          <w:p>
            <w:pPr>
              <w:jc w:val="center"/>
              <w:rPr>
                <w:highlight w:val="none"/>
              </w:rPr>
            </w:pPr>
          </w:p>
        </w:tc>
        <w:tc>
          <w:tcPr>
            <w:tcW w:w="1860" w:type="dxa"/>
            <w:vAlign w:val="center"/>
          </w:tcPr>
          <w:p>
            <w:pPr>
              <w:jc w:val="center"/>
              <w:rPr>
                <w:highlight w:val="none"/>
              </w:rPr>
            </w:pPr>
          </w:p>
        </w:tc>
        <w:tc>
          <w:tcPr>
            <w:tcW w:w="1830" w:type="dxa"/>
            <w:vAlign w:val="center"/>
          </w:tcPr>
          <w:p>
            <w:pPr>
              <w:jc w:val="center"/>
              <w:rPr>
                <w:highlight w:val="none"/>
              </w:rPr>
            </w:pPr>
          </w:p>
        </w:tc>
        <w:tc>
          <w:tcPr>
            <w:tcW w:w="2088"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51" w:type="dxa"/>
            <w:vAlign w:val="center"/>
          </w:tcPr>
          <w:p>
            <w:pPr>
              <w:jc w:val="center"/>
              <w:rPr>
                <w:highlight w:val="none"/>
              </w:rPr>
            </w:pPr>
          </w:p>
        </w:tc>
        <w:tc>
          <w:tcPr>
            <w:tcW w:w="1510" w:type="dxa"/>
            <w:vAlign w:val="center"/>
          </w:tcPr>
          <w:p>
            <w:pPr>
              <w:jc w:val="center"/>
              <w:rPr>
                <w:highlight w:val="none"/>
              </w:rPr>
            </w:pPr>
          </w:p>
        </w:tc>
        <w:tc>
          <w:tcPr>
            <w:tcW w:w="1260" w:type="dxa"/>
            <w:vAlign w:val="center"/>
          </w:tcPr>
          <w:p>
            <w:pPr>
              <w:jc w:val="center"/>
              <w:rPr>
                <w:highlight w:val="none"/>
              </w:rPr>
            </w:pPr>
          </w:p>
        </w:tc>
        <w:tc>
          <w:tcPr>
            <w:tcW w:w="1860" w:type="dxa"/>
            <w:vAlign w:val="center"/>
          </w:tcPr>
          <w:p>
            <w:pPr>
              <w:jc w:val="center"/>
              <w:rPr>
                <w:highlight w:val="none"/>
              </w:rPr>
            </w:pPr>
          </w:p>
        </w:tc>
        <w:tc>
          <w:tcPr>
            <w:tcW w:w="1830" w:type="dxa"/>
            <w:vAlign w:val="center"/>
          </w:tcPr>
          <w:p>
            <w:pPr>
              <w:jc w:val="center"/>
              <w:rPr>
                <w:highlight w:val="none"/>
              </w:rPr>
            </w:pPr>
          </w:p>
        </w:tc>
        <w:tc>
          <w:tcPr>
            <w:tcW w:w="2088"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51" w:type="dxa"/>
            <w:vAlign w:val="center"/>
          </w:tcPr>
          <w:p>
            <w:pPr>
              <w:jc w:val="center"/>
              <w:rPr>
                <w:highlight w:val="none"/>
              </w:rPr>
            </w:pPr>
          </w:p>
        </w:tc>
        <w:tc>
          <w:tcPr>
            <w:tcW w:w="1510" w:type="dxa"/>
            <w:vAlign w:val="center"/>
          </w:tcPr>
          <w:p>
            <w:pPr>
              <w:jc w:val="center"/>
              <w:rPr>
                <w:highlight w:val="none"/>
              </w:rPr>
            </w:pPr>
          </w:p>
        </w:tc>
        <w:tc>
          <w:tcPr>
            <w:tcW w:w="1260" w:type="dxa"/>
            <w:vAlign w:val="center"/>
          </w:tcPr>
          <w:p>
            <w:pPr>
              <w:jc w:val="center"/>
              <w:rPr>
                <w:highlight w:val="none"/>
              </w:rPr>
            </w:pPr>
          </w:p>
        </w:tc>
        <w:tc>
          <w:tcPr>
            <w:tcW w:w="1860" w:type="dxa"/>
            <w:vAlign w:val="center"/>
          </w:tcPr>
          <w:p>
            <w:pPr>
              <w:jc w:val="center"/>
              <w:rPr>
                <w:highlight w:val="none"/>
              </w:rPr>
            </w:pPr>
          </w:p>
        </w:tc>
        <w:tc>
          <w:tcPr>
            <w:tcW w:w="1830" w:type="dxa"/>
            <w:vAlign w:val="center"/>
          </w:tcPr>
          <w:p>
            <w:pPr>
              <w:jc w:val="center"/>
              <w:rPr>
                <w:highlight w:val="none"/>
              </w:rPr>
            </w:pPr>
          </w:p>
        </w:tc>
        <w:tc>
          <w:tcPr>
            <w:tcW w:w="2088" w:type="dxa"/>
            <w:vAlign w:val="center"/>
          </w:tcPr>
          <w:p>
            <w:pPr>
              <w:jc w:val="center"/>
              <w:rPr>
                <w:highlight w:val="none"/>
              </w:rPr>
            </w:pPr>
          </w:p>
        </w:tc>
      </w:tr>
    </w:tbl>
    <w:p>
      <w:pPr>
        <w:spacing w:line="440" w:lineRule="exact"/>
        <w:ind w:left="470" w:hanging="470" w:hangingChars="195"/>
        <w:rPr>
          <w:rFonts w:asciiTheme="minorEastAsia" w:hAnsiTheme="minorEastAsia" w:cstheme="minorEastAsia"/>
          <w:b/>
          <w:bCs/>
          <w:kern w:val="0"/>
          <w:sz w:val="24"/>
          <w:highlight w:val="none"/>
        </w:rPr>
      </w:pPr>
      <w:r>
        <w:rPr>
          <w:rFonts w:hint="eastAsia" w:asciiTheme="minorEastAsia" w:hAnsiTheme="minorEastAsia" w:cstheme="minorEastAsia"/>
          <w:b/>
          <w:bCs/>
          <w:kern w:val="0"/>
          <w:sz w:val="24"/>
          <w:highlight w:val="none"/>
        </w:rPr>
        <w:t>注：1、此表格供应商可自行设计、扩展，根据情况予以细化。</w:t>
      </w:r>
    </w:p>
    <w:p>
      <w:pPr>
        <w:spacing w:line="440" w:lineRule="exact"/>
        <w:ind w:firstLine="482" w:firstLineChars="200"/>
        <w:rPr>
          <w:rFonts w:asciiTheme="minorEastAsia" w:hAnsiTheme="minorEastAsia" w:cstheme="minorEastAsia"/>
          <w:b/>
          <w:bCs/>
          <w:kern w:val="0"/>
          <w:sz w:val="24"/>
          <w:highlight w:val="none"/>
        </w:rPr>
      </w:pPr>
      <w:r>
        <w:rPr>
          <w:rFonts w:hint="eastAsia" w:asciiTheme="minorEastAsia" w:hAnsiTheme="minorEastAsia" w:cstheme="minorEastAsia"/>
          <w:b/>
          <w:bCs/>
          <w:kern w:val="0"/>
          <w:sz w:val="24"/>
          <w:highlight w:val="none"/>
        </w:rPr>
        <w:t>2、业绩的合同复印件加盖公章后附在此表后。</w:t>
      </w:r>
    </w:p>
    <w:p>
      <w:pPr>
        <w:spacing w:line="360" w:lineRule="auto"/>
        <w:rPr>
          <w:rFonts w:asciiTheme="minorEastAsia" w:hAnsiTheme="minorEastAsia" w:cstheme="minorEastAsia"/>
          <w:sz w:val="28"/>
          <w:szCs w:val="28"/>
          <w:highlight w:val="none"/>
        </w:rPr>
      </w:pPr>
    </w:p>
    <w:p>
      <w:pPr>
        <w:widowControl/>
        <w:spacing w:line="48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供应商：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（公章）</w:t>
      </w:r>
    </w:p>
    <w:p>
      <w:pPr>
        <w:widowControl/>
        <w:spacing w:line="48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法定代表人或</w:t>
      </w:r>
      <w:r>
        <w:rPr>
          <w:rFonts w:hint="eastAsia" w:asciiTheme="minorEastAsia" w:hAnsiTheme="minorEastAsia" w:cstheme="minorEastAsia"/>
          <w:sz w:val="24"/>
          <w:highlight w:val="none"/>
          <w:lang w:val="en-US" w:eastAsia="zh-CN"/>
        </w:rPr>
        <w:t>其</w:t>
      </w:r>
      <w:r>
        <w:rPr>
          <w:rFonts w:hint="eastAsia" w:asciiTheme="minorEastAsia" w:hAnsiTheme="minorEastAsia" w:cstheme="minorEastAsia"/>
          <w:sz w:val="24"/>
          <w:highlight w:val="none"/>
        </w:rPr>
        <w:t>授权委托人：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（签字或盖章）</w:t>
      </w:r>
    </w:p>
    <w:p>
      <w:pPr>
        <w:widowControl/>
        <w:spacing w:line="48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日期：    年  月  日</w:t>
      </w:r>
    </w:p>
    <w:p>
      <w:pPr>
        <w:rPr>
          <w:rFonts w:asciiTheme="minorEastAsia" w:hAnsiTheme="minorEastAsia" w:cstheme="minorEastAsia"/>
          <w:sz w:val="24"/>
          <w:highlight w:val="none"/>
        </w:rPr>
      </w:pPr>
      <w:r>
        <w:rPr>
          <w:rFonts w:hint="eastAsia" w:asciiTheme="minorEastAsia" w:hAnsiTheme="minorEastAsia" w:cstheme="minorEastAsia"/>
          <w:sz w:val="24"/>
          <w:highlight w:val="none"/>
        </w:rPr>
        <w:br w:type="page"/>
      </w:r>
    </w:p>
    <w:p>
      <w:pPr>
        <w:pStyle w:val="37"/>
        <w:spacing w:line="360" w:lineRule="auto"/>
        <w:ind w:firstLine="0"/>
        <w:jc w:val="center"/>
        <w:rPr>
          <w:rFonts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lang w:val="en-US" w:eastAsia="zh-CN"/>
        </w:rPr>
        <w:t>六</w:t>
      </w:r>
      <w:r>
        <w:rPr>
          <w:rFonts w:hint="eastAsia" w:asciiTheme="minorEastAsia" w:hAnsiTheme="minorEastAsia" w:cstheme="minorEastAsia"/>
          <w:b/>
          <w:sz w:val="30"/>
          <w:szCs w:val="30"/>
          <w:highlight w:val="none"/>
        </w:rPr>
        <w:t>、拟投入本项目人员情况表</w:t>
      </w:r>
    </w:p>
    <w:tbl>
      <w:tblPr>
        <w:tblStyle w:val="21"/>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25"/>
        <w:gridCol w:w="738"/>
        <w:gridCol w:w="738"/>
        <w:gridCol w:w="1225"/>
        <w:gridCol w:w="1712"/>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r>
              <w:rPr>
                <w:rFonts w:hint="eastAsia" w:ascii="宋体" w:hAnsi="宋体" w:eastAsia="宋体" w:cs="宋体"/>
                <w:highlight w:val="none"/>
              </w:rPr>
              <w:t>姓名</w:t>
            </w:r>
          </w:p>
        </w:tc>
        <w:tc>
          <w:tcPr>
            <w:tcW w:w="1225" w:type="dxa"/>
            <w:vAlign w:val="center"/>
          </w:tcPr>
          <w:p>
            <w:pPr>
              <w:jc w:val="center"/>
              <w:rPr>
                <w:rFonts w:ascii="宋体" w:hAnsi="宋体" w:eastAsia="宋体" w:cs="宋体"/>
                <w:highlight w:val="none"/>
              </w:rPr>
            </w:pPr>
            <w:r>
              <w:rPr>
                <w:rFonts w:hint="eastAsia" w:ascii="宋体" w:hAnsi="宋体" w:eastAsia="宋体" w:cs="宋体"/>
                <w:highlight w:val="none"/>
              </w:rPr>
              <w:t>专业学历</w:t>
            </w:r>
          </w:p>
        </w:tc>
        <w:tc>
          <w:tcPr>
            <w:tcW w:w="738" w:type="dxa"/>
            <w:vAlign w:val="center"/>
          </w:tcPr>
          <w:p>
            <w:pPr>
              <w:jc w:val="center"/>
              <w:rPr>
                <w:rFonts w:ascii="宋体" w:hAnsi="宋体" w:eastAsia="宋体" w:cs="宋体"/>
                <w:highlight w:val="none"/>
              </w:rPr>
            </w:pPr>
            <w:r>
              <w:rPr>
                <w:rFonts w:hint="eastAsia" w:ascii="宋体" w:hAnsi="宋体" w:eastAsia="宋体" w:cs="宋体"/>
                <w:highlight w:val="none"/>
              </w:rPr>
              <w:t>性别</w:t>
            </w:r>
          </w:p>
        </w:tc>
        <w:tc>
          <w:tcPr>
            <w:tcW w:w="738" w:type="dxa"/>
            <w:vAlign w:val="center"/>
          </w:tcPr>
          <w:p>
            <w:pPr>
              <w:jc w:val="center"/>
              <w:rPr>
                <w:rFonts w:ascii="宋体" w:hAnsi="宋体" w:eastAsia="宋体" w:cs="宋体"/>
                <w:highlight w:val="none"/>
              </w:rPr>
            </w:pPr>
            <w:r>
              <w:rPr>
                <w:rFonts w:hint="eastAsia" w:ascii="宋体" w:hAnsi="宋体" w:eastAsia="宋体" w:cs="宋体"/>
                <w:highlight w:val="none"/>
              </w:rPr>
              <w:t>年龄</w:t>
            </w:r>
          </w:p>
        </w:tc>
        <w:tc>
          <w:tcPr>
            <w:tcW w:w="1225" w:type="dxa"/>
            <w:vAlign w:val="center"/>
          </w:tcPr>
          <w:p>
            <w:pPr>
              <w:jc w:val="center"/>
              <w:rPr>
                <w:rFonts w:ascii="宋体" w:hAnsi="宋体" w:eastAsia="宋体" w:cs="宋体"/>
                <w:highlight w:val="none"/>
              </w:rPr>
            </w:pPr>
            <w:r>
              <w:rPr>
                <w:rFonts w:hint="eastAsia" w:ascii="宋体" w:hAnsi="宋体" w:eastAsia="宋体" w:cs="宋体"/>
                <w:highlight w:val="none"/>
              </w:rPr>
              <w:t>职称职务</w:t>
            </w:r>
          </w:p>
        </w:tc>
        <w:tc>
          <w:tcPr>
            <w:tcW w:w="1712" w:type="dxa"/>
            <w:vAlign w:val="center"/>
          </w:tcPr>
          <w:p>
            <w:pPr>
              <w:jc w:val="center"/>
              <w:rPr>
                <w:rFonts w:ascii="宋体" w:hAnsi="宋体" w:eastAsia="宋体" w:cs="宋体"/>
                <w:highlight w:val="none"/>
                <w:lang w:val="zh-CN"/>
              </w:rPr>
            </w:pPr>
            <w:r>
              <w:rPr>
                <w:rFonts w:hint="eastAsia" w:ascii="宋体" w:hAnsi="宋体" w:eastAsia="宋体" w:cs="宋体"/>
                <w:highlight w:val="none"/>
              </w:rPr>
              <w:t>专业工作年限</w:t>
            </w:r>
          </w:p>
        </w:tc>
        <w:tc>
          <w:tcPr>
            <w:tcW w:w="2931" w:type="dxa"/>
            <w:vAlign w:val="center"/>
          </w:tcPr>
          <w:p>
            <w:pPr>
              <w:jc w:val="center"/>
              <w:rPr>
                <w:rFonts w:ascii="宋体" w:hAnsi="宋体" w:eastAsia="宋体" w:cs="宋体"/>
                <w:highlight w:val="none"/>
                <w:lang w:val="zh-CN"/>
              </w:rPr>
            </w:pPr>
            <w:r>
              <w:rPr>
                <w:rFonts w:hint="eastAsia" w:ascii="宋体" w:hAnsi="宋体" w:eastAsia="宋体" w:cs="宋体"/>
                <w:highlight w:val="none"/>
              </w:rPr>
              <w:t>在本项目中拟承担的工作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738" w:type="dxa"/>
            <w:vAlign w:val="center"/>
          </w:tcPr>
          <w:p>
            <w:pPr>
              <w:jc w:val="center"/>
              <w:rPr>
                <w:rFonts w:ascii="宋体" w:hAnsi="宋体" w:eastAsia="宋体" w:cs="宋体"/>
                <w:highlight w:val="none"/>
              </w:rPr>
            </w:pPr>
          </w:p>
        </w:tc>
        <w:tc>
          <w:tcPr>
            <w:tcW w:w="1225" w:type="dxa"/>
            <w:vAlign w:val="center"/>
          </w:tcPr>
          <w:p>
            <w:pPr>
              <w:jc w:val="center"/>
              <w:rPr>
                <w:rFonts w:ascii="宋体" w:hAnsi="宋体" w:eastAsia="宋体" w:cs="宋体"/>
                <w:highlight w:val="none"/>
              </w:rPr>
            </w:pPr>
          </w:p>
        </w:tc>
        <w:tc>
          <w:tcPr>
            <w:tcW w:w="1712" w:type="dxa"/>
            <w:vAlign w:val="center"/>
          </w:tcPr>
          <w:p>
            <w:pPr>
              <w:jc w:val="center"/>
              <w:rPr>
                <w:rFonts w:ascii="宋体" w:hAnsi="宋体" w:eastAsia="宋体" w:cs="宋体"/>
                <w:highlight w:val="none"/>
              </w:rPr>
            </w:pPr>
          </w:p>
        </w:tc>
        <w:tc>
          <w:tcPr>
            <w:tcW w:w="2931" w:type="dxa"/>
            <w:vAlign w:val="center"/>
          </w:tcPr>
          <w:p>
            <w:pPr>
              <w:jc w:val="center"/>
              <w:rPr>
                <w:rFonts w:ascii="宋体" w:hAnsi="宋体" w:eastAsia="宋体" w:cs="宋体"/>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rPr>
      </w:pPr>
    </w:p>
    <w:p>
      <w:pPr>
        <w:widowControl/>
        <w:spacing w:line="480" w:lineRule="auto"/>
        <w:jc w:val="right"/>
        <w:rPr>
          <w:rFonts w:asciiTheme="minorEastAsia" w:hAnsiTheme="minorEastAsia" w:cstheme="minorEastAsia"/>
          <w:sz w:val="24"/>
          <w:highlight w:val="none"/>
        </w:rPr>
      </w:pPr>
    </w:p>
    <w:p>
      <w:pPr>
        <w:spacing w:line="36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供应商：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（公章）</w:t>
      </w:r>
    </w:p>
    <w:p>
      <w:pPr>
        <w:widowControl/>
        <w:spacing w:line="48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法定代表人或</w:t>
      </w:r>
      <w:r>
        <w:rPr>
          <w:rFonts w:hint="eastAsia" w:asciiTheme="minorEastAsia" w:hAnsiTheme="minorEastAsia" w:cstheme="minorEastAsia"/>
          <w:sz w:val="24"/>
          <w:highlight w:val="none"/>
          <w:lang w:val="en-US" w:eastAsia="zh-CN"/>
        </w:rPr>
        <w:t>其</w:t>
      </w:r>
      <w:r>
        <w:rPr>
          <w:rFonts w:hint="eastAsia" w:asciiTheme="minorEastAsia" w:hAnsiTheme="minorEastAsia" w:cstheme="minorEastAsia"/>
          <w:sz w:val="24"/>
          <w:highlight w:val="none"/>
        </w:rPr>
        <w:t>授权委托人：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（签字或盖章）</w:t>
      </w:r>
    </w:p>
    <w:p>
      <w:pPr>
        <w:widowControl/>
        <w:spacing w:line="48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日期：    年  月  日</w:t>
      </w:r>
    </w:p>
    <w:p>
      <w:pPr>
        <w:rPr>
          <w:rFonts w:asciiTheme="minorEastAsia" w:hAnsiTheme="minorEastAsia" w:cstheme="minorEastAsia"/>
          <w:sz w:val="24"/>
          <w:highlight w:val="none"/>
        </w:rPr>
      </w:pPr>
      <w:r>
        <w:rPr>
          <w:rFonts w:hint="eastAsia" w:asciiTheme="minorEastAsia" w:hAnsiTheme="minorEastAsia" w:cstheme="minorEastAsia"/>
          <w:sz w:val="24"/>
          <w:highlight w:val="none"/>
        </w:rPr>
        <w:br w:type="page"/>
      </w:r>
    </w:p>
    <w:p>
      <w:pPr>
        <w:pStyle w:val="37"/>
        <w:spacing w:line="360" w:lineRule="auto"/>
        <w:ind w:firstLine="0"/>
        <w:jc w:val="center"/>
        <w:rPr>
          <w:rFonts w:hint="default" w:asciiTheme="minorEastAsia" w:hAnsiTheme="minorEastAsia" w:cstheme="minorEastAsia"/>
          <w:b/>
          <w:sz w:val="30"/>
          <w:szCs w:val="30"/>
          <w:highlight w:val="none"/>
          <w:lang w:val="en-US" w:eastAsia="zh-CN"/>
        </w:rPr>
      </w:pPr>
      <w:r>
        <w:rPr>
          <w:rFonts w:hint="eastAsia" w:asciiTheme="minorEastAsia" w:hAnsiTheme="minorEastAsia" w:cstheme="minorEastAsia"/>
          <w:b/>
          <w:sz w:val="30"/>
          <w:szCs w:val="30"/>
          <w:highlight w:val="none"/>
          <w:lang w:val="en-US" w:eastAsia="zh-CN"/>
        </w:rPr>
        <w:t>七、主要人员简历表</w:t>
      </w:r>
    </w:p>
    <w:tbl>
      <w:tblPr>
        <w:tblStyle w:val="2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90"/>
        <w:gridCol w:w="755"/>
        <w:gridCol w:w="1046"/>
        <w:gridCol w:w="1164"/>
        <w:gridCol w:w="771"/>
        <w:gridCol w:w="1378"/>
        <w:gridCol w:w="438"/>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1297" w:type="dxa"/>
            <w:vAlign w:val="center"/>
          </w:tcPr>
          <w:p>
            <w:pPr>
              <w:spacing w:line="440" w:lineRule="exact"/>
              <w:jc w:val="center"/>
              <w:rPr>
                <w:rFonts w:ascii="Times New Roman" w:hAnsi="Times New Roman"/>
                <w:sz w:val="24"/>
                <w:szCs w:val="24"/>
                <w:highlight w:val="none"/>
              </w:rPr>
            </w:pPr>
            <w:r>
              <w:rPr>
                <w:rFonts w:hint="eastAsia" w:ascii="Times New Roman" w:hAnsi="Times New Roman"/>
                <w:sz w:val="24"/>
                <w:szCs w:val="24"/>
                <w:highlight w:val="none"/>
              </w:rPr>
              <w:t>姓</w:t>
            </w:r>
            <w:r>
              <w:rPr>
                <w:rFonts w:ascii="Times New Roman" w:hAnsi="Times New Roman"/>
                <w:sz w:val="24"/>
                <w:szCs w:val="24"/>
                <w:highlight w:val="none"/>
              </w:rPr>
              <w:t xml:space="preserve">  </w:t>
            </w:r>
            <w:r>
              <w:rPr>
                <w:rFonts w:hint="eastAsia" w:ascii="Times New Roman" w:hAnsi="Times New Roman"/>
                <w:sz w:val="24"/>
                <w:szCs w:val="24"/>
                <w:highlight w:val="none"/>
              </w:rPr>
              <w:t>名</w:t>
            </w:r>
          </w:p>
        </w:tc>
        <w:tc>
          <w:tcPr>
            <w:tcW w:w="1145" w:type="dxa"/>
            <w:gridSpan w:val="2"/>
            <w:vAlign w:val="center"/>
          </w:tcPr>
          <w:p>
            <w:pPr>
              <w:spacing w:line="440" w:lineRule="exact"/>
              <w:jc w:val="center"/>
              <w:rPr>
                <w:rFonts w:ascii="Times New Roman" w:hAnsi="Times New Roman"/>
                <w:sz w:val="24"/>
                <w:szCs w:val="24"/>
                <w:highlight w:val="none"/>
              </w:rPr>
            </w:pPr>
          </w:p>
        </w:tc>
        <w:tc>
          <w:tcPr>
            <w:tcW w:w="1046" w:type="dxa"/>
            <w:vAlign w:val="center"/>
          </w:tcPr>
          <w:p>
            <w:pPr>
              <w:spacing w:line="440" w:lineRule="exact"/>
              <w:jc w:val="center"/>
              <w:rPr>
                <w:rFonts w:ascii="Times New Roman" w:hAnsi="Times New Roman"/>
                <w:sz w:val="24"/>
                <w:szCs w:val="24"/>
                <w:highlight w:val="none"/>
              </w:rPr>
            </w:pPr>
            <w:r>
              <w:rPr>
                <w:rFonts w:hint="eastAsia" w:ascii="Times New Roman" w:hAnsi="Times New Roman"/>
                <w:sz w:val="24"/>
                <w:szCs w:val="24"/>
                <w:highlight w:val="none"/>
              </w:rPr>
              <w:t>年龄</w:t>
            </w:r>
          </w:p>
        </w:tc>
        <w:tc>
          <w:tcPr>
            <w:tcW w:w="1164" w:type="dxa"/>
            <w:vAlign w:val="center"/>
          </w:tcPr>
          <w:p>
            <w:pPr>
              <w:spacing w:line="440" w:lineRule="exact"/>
              <w:jc w:val="center"/>
              <w:rPr>
                <w:rFonts w:ascii="Times New Roman" w:hAnsi="Times New Roman"/>
                <w:sz w:val="24"/>
                <w:szCs w:val="24"/>
                <w:highlight w:val="none"/>
              </w:rPr>
            </w:pPr>
          </w:p>
        </w:tc>
        <w:tc>
          <w:tcPr>
            <w:tcW w:w="2587" w:type="dxa"/>
            <w:gridSpan w:val="3"/>
            <w:vAlign w:val="center"/>
          </w:tcPr>
          <w:p>
            <w:pPr>
              <w:spacing w:line="440" w:lineRule="exact"/>
              <w:jc w:val="center"/>
              <w:rPr>
                <w:rFonts w:ascii="Times New Roman" w:hAnsi="Times New Roman"/>
                <w:sz w:val="24"/>
                <w:szCs w:val="24"/>
                <w:highlight w:val="none"/>
              </w:rPr>
            </w:pPr>
            <w:r>
              <w:rPr>
                <w:rFonts w:hint="eastAsia" w:ascii="Times New Roman" w:hAnsi="Times New Roman"/>
                <w:sz w:val="24"/>
                <w:szCs w:val="24"/>
                <w:highlight w:val="none"/>
              </w:rPr>
              <w:t>执业资格证书（或上岗证书）名称</w:t>
            </w:r>
          </w:p>
        </w:tc>
        <w:tc>
          <w:tcPr>
            <w:tcW w:w="2071" w:type="dxa"/>
            <w:vAlign w:val="center"/>
          </w:tcPr>
          <w:p>
            <w:pPr>
              <w:spacing w:line="440" w:lineRule="exact"/>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spacing w:line="440" w:lineRule="exact"/>
              <w:jc w:val="center"/>
              <w:rPr>
                <w:rFonts w:ascii="Times New Roman" w:hAnsi="Times New Roman"/>
                <w:sz w:val="24"/>
                <w:szCs w:val="24"/>
                <w:highlight w:val="none"/>
              </w:rPr>
            </w:pPr>
            <w:r>
              <w:rPr>
                <w:rFonts w:hint="eastAsia" w:ascii="Times New Roman" w:hAnsi="Times New Roman"/>
                <w:sz w:val="24"/>
                <w:szCs w:val="24"/>
                <w:highlight w:val="none"/>
              </w:rPr>
              <w:t>职</w:t>
            </w:r>
            <w:r>
              <w:rPr>
                <w:rFonts w:ascii="Times New Roman" w:hAnsi="Times New Roman"/>
                <w:sz w:val="24"/>
                <w:szCs w:val="24"/>
                <w:highlight w:val="none"/>
              </w:rPr>
              <w:t xml:space="preserve">  </w:t>
            </w:r>
            <w:r>
              <w:rPr>
                <w:rFonts w:hint="eastAsia" w:ascii="Times New Roman" w:hAnsi="Times New Roman"/>
                <w:sz w:val="24"/>
                <w:szCs w:val="24"/>
                <w:highlight w:val="none"/>
              </w:rPr>
              <w:t>称</w:t>
            </w:r>
          </w:p>
        </w:tc>
        <w:tc>
          <w:tcPr>
            <w:tcW w:w="1145" w:type="dxa"/>
            <w:gridSpan w:val="2"/>
            <w:vAlign w:val="center"/>
          </w:tcPr>
          <w:p>
            <w:pPr>
              <w:spacing w:line="440" w:lineRule="exact"/>
              <w:jc w:val="center"/>
              <w:rPr>
                <w:rFonts w:ascii="Times New Roman" w:hAnsi="Times New Roman"/>
                <w:sz w:val="24"/>
                <w:szCs w:val="24"/>
                <w:highlight w:val="none"/>
              </w:rPr>
            </w:pPr>
          </w:p>
        </w:tc>
        <w:tc>
          <w:tcPr>
            <w:tcW w:w="1046" w:type="dxa"/>
            <w:vAlign w:val="center"/>
          </w:tcPr>
          <w:p>
            <w:pPr>
              <w:spacing w:before="100" w:beforeAutospacing="1" w:after="100" w:afterAutospacing="1" w:line="440" w:lineRule="exact"/>
              <w:jc w:val="center"/>
              <w:rPr>
                <w:rFonts w:ascii="Times New Roman" w:hAnsi="Times New Roman"/>
                <w:sz w:val="24"/>
                <w:szCs w:val="24"/>
                <w:highlight w:val="none"/>
              </w:rPr>
            </w:pPr>
            <w:r>
              <w:rPr>
                <w:rFonts w:hint="eastAsia" w:ascii="Times New Roman" w:hAnsi="Times New Roman"/>
                <w:sz w:val="24"/>
                <w:szCs w:val="24"/>
                <w:highlight w:val="none"/>
              </w:rPr>
              <w:t>学历</w:t>
            </w:r>
          </w:p>
        </w:tc>
        <w:tc>
          <w:tcPr>
            <w:tcW w:w="1164" w:type="dxa"/>
            <w:vAlign w:val="center"/>
          </w:tcPr>
          <w:p>
            <w:pPr>
              <w:spacing w:line="440" w:lineRule="exact"/>
              <w:jc w:val="center"/>
              <w:rPr>
                <w:rFonts w:ascii="Times New Roman" w:hAnsi="Times New Roman"/>
                <w:sz w:val="24"/>
                <w:szCs w:val="24"/>
                <w:highlight w:val="none"/>
              </w:rPr>
            </w:pPr>
          </w:p>
        </w:tc>
        <w:tc>
          <w:tcPr>
            <w:tcW w:w="2587" w:type="dxa"/>
            <w:gridSpan w:val="3"/>
            <w:vAlign w:val="center"/>
          </w:tcPr>
          <w:p>
            <w:pPr>
              <w:spacing w:before="100" w:beforeAutospacing="1" w:after="100" w:afterAutospacing="1" w:line="440" w:lineRule="exact"/>
              <w:jc w:val="center"/>
              <w:rPr>
                <w:rFonts w:ascii="Times New Roman" w:hAnsi="Times New Roman"/>
                <w:sz w:val="24"/>
                <w:szCs w:val="24"/>
                <w:highlight w:val="none"/>
              </w:rPr>
            </w:pPr>
            <w:r>
              <w:rPr>
                <w:rFonts w:hint="eastAsia" w:ascii="Times New Roman" w:hAnsi="Times New Roman"/>
                <w:sz w:val="24"/>
                <w:szCs w:val="24"/>
                <w:highlight w:val="none"/>
              </w:rPr>
              <w:t>拟在本项目任职</w:t>
            </w:r>
          </w:p>
        </w:tc>
        <w:tc>
          <w:tcPr>
            <w:tcW w:w="2071" w:type="dxa"/>
            <w:vAlign w:val="center"/>
          </w:tcPr>
          <w:p>
            <w:pPr>
              <w:spacing w:line="440" w:lineRule="exact"/>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spacing w:before="100" w:beforeAutospacing="1" w:after="100" w:afterAutospacing="1" w:line="440" w:lineRule="exact"/>
              <w:jc w:val="center"/>
              <w:rPr>
                <w:rFonts w:ascii="Times New Roman" w:hAnsi="Times New Roman"/>
                <w:sz w:val="24"/>
                <w:szCs w:val="24"/>
                <w:highlight w:val="none"/>
              </w:rPr>
            </w:pPr>
            <w:r>
              <w:rPr>
                <w:rFonts w:hint="eastAsia" w:ascii="Times New Roman" w:hAnsi="Times New Roman"/>
                <w:sz w:val="24"/>
                <w:szCs w:val="24"/>
                <w:highlight w:val="none"/>
              </w:rPr>
              <w:t>工作年限</w:t>
            </w:r>
          </w:p>
        </w:tc>
        <w:tc>
          <w:tcPr>
            <w:tcW w:w="8013" w:type="dxa"/>
            <w:gridSpan w:val="8"/>
            <w:vAlign w:val="center"/>
          </w:tcPr>
          <w:p>
            <w:pPr>
              <w:spacing w:line="440" w:lineRule="exact"/>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1297" w:type="dxa"/>
            <w:vAlign w:val="center"/>
          </w:tcPr>
          <w:p>
            <w:pPr>
              <w:spacing w:before="100" w:beforeAutospacing="1" w:after="100" w:afterAutospacing="1" w:line="440" w:lineRule="exact"/>
              <w:jc w:val="center"/>
              <w:rPr>
                <w:rFonts w:ascii="Times New Roman" w:hAnsi="Times New Roman"/>
                <w:sz w:val="24"/>
                <w:szCs w:val="24"/>
                <w:highlight w:val="none"/>
              </w:rPr>
            </w:pPr>
            <w:r>
              <w:rPr>
                <w:rFonts w:hint="eastAsia" w:ascii="Times New Roman" w:hAnsi="Times New Roman"/>
                <w:sz w:val="24"/>
                <w:szCs w:val="24"/>
                <w:highlight w:val="none"/>
              </w:rPr>
              <w:t>毕业学校</w:t>
            </w:r>
          </w:p>
        </w:tc>
        <w:tc>
          <w:tcPr>
            <w:tcW w:w="8013" w:type="dxa"/>
            <w:gridSpan w:val="8"/>
            <w:vAlign w:val="center"/>
          </w:tcPr>
          <w:p>
            <w:pPr>
              <w:spacing w:before="100" w:beforeAutospacing="1" w:after="100" w:afterAutospacing="1" w:line="440" w:lineRule="exact"/>
              <w:ind w:firstLine="1320" w:firstLineChars="550"/>
              <w:rPr>
                <w:rFonts w:ascii="Times New Roman" w:hAnsi="Times New Roman"/>
                <w:sz w:val="24"/>
                <w:szCs w:val="24"/>
                <w:highlight w:val="none"/>
              </w:rPr>
            </w:pPr>
            <w:r>
              <w:rPr>
                <w:rFonts w:hint="eastAsia" w:ascii="Times New Roman" w:hAnsi="Times New Roman"/>
                <w:sz w:val="24"/>
                <w:szCs w:val="24"/>
                <w:highlight w:val="none"/>
              </w:rPr>
              <w:t>年毕业于</w:t>
            </w:r>
            <w:r>
              <w:rPr>
                <w:rFonts w:ascii="Times New Roman" w:hAnsi="Times New Roman"/>
                <w:sz w:val="24"/>
                <w:szCs w:val="24"/>
                <w:highlight w:val="none"/>
              </w:rPr>
              <w:t xml:space="preserve">            </w:t>
            </w:r>
            <w:r>
              <w:rPr>
                <w:rFonts w:hint="eastAsia" w:ascii="Times New Roman" w:hAnsi="Times New Roman"/>
                <w:sz w:val="24"/>
                <w:szCs w:val="24"/>
                <w:highlight w:val="none"/>
              </w:rPr>
              <w:t>学校</w:t>
            </w:r>
            <w:r>
              <w:rPr>
                <w:rFonts w:ascii="Times New Roman" w:hAnsi="Times New Roman"/>
                <w:sz w:val="24"/>
                <w:szCs w:val="24"/>
                <w:highlight w:val="none"/>
              </w:rPr>
              <w:t xml:space="preserve">        </w:t>
            </w:r>
            <w:r>
              <w:rPr>
                <w:rFonts w:hint="eastAsia" w:ascii="Times New Roman" w:hAnsi="Times New Roman"/>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10" w:type="dxa"/>
            <w:gridSpan w:val="9"/>
            <w:vAlign w:val="center"/>
          </w:tcPr>
          <w:p>
            <w:pPr>
              <w:spacing w:before="100" w:beforeAutospacing="1" w:after="100" w:afterAutospacing="1" w:line="440" w:lineRule="exact"/>
              <w:jc w:val="left"/>
              <w:rPr>
                <w:rFonts w:ascii="Times New Roman" w:hAnsi="Times New Roman"/>
                <w:sz w:val="24"/>
                <w:szCs w:val="24"/>
                <w:highlight w:val="none"/>
              </w:rPr>
            </w:pPr>
            <w:r>
              <w:rPr>
                <w:rFonts w:hint="eastAsia" w:ascii="Times New Roman" w:hAnsi="Times New Roman"/>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7" w:type="dxa"/>
            <w:gridSpan w:val="2"/>
            <w:vAlign w:val="center"/>
          </w:tcPr>
          <w:p>
            <w:pPr>
              <w:spacing w:before="100" w:beforeAutospacing="1" w:after="100" w:afterAutospacing="1" w:line="440" w:lineRule="exact"/>
              <w:jc w:val="center"/>
              <w:rPr>
                <w:rFonts w:ascii="Times New Roman" w:hAnsi="Times New Roman"/>
                <w:sz w:val="24"/>
                <w:szCs w:val="24"/>
                <w:highlight w:val="none"/>
              </w:rPr>
            </w:pPr>
            <w:r>
              <w:rPr>
                <w:rFonts w:hint="eastAsia" w:ascii="Times New Roman" w:hAnsi="Times New Roman"/>
                <w:sz w:val="24"/>
                <w:szCs w:val="24"/>
                <w:highlight w:val="none"/>
              </w:rPr>
              <w:t>时</w:t>
            </w:r>
            <w:r>
              <w:rPr>
                <w:rFonts w:ascii="Times New Roman" w:hAnsi="Times New Roman"/>
                <w:sz w:val="24"/>
                <w:szCs w:val="24"/>
                <w:highlight w:val="none"/>
              </w:rPr>
              <w:t xml:space="preserve">  </w:t>
            </w:r>
            <w:r>
              <w:rPr>
                <w:rFonts w:hint="eastAsia" w:ascii="Times New Roman" w:hAnsi="Times New Roman"/>
                <w:sz w:val="24"/>
                <w:szCs w:val="24"/>
                <w:highlight w:val="none"/>
              </w:rPr>
              <w:t>间</w:t>
            </w:r>
          </w:p>
        </w:tc>
        <w:tc>
          <w:tcPr>
            <w:tcW w:w="3736" w:type="dxa"/>
            <w:gridSpan w:val="4"/>
            <w:vAlign w:val="center"/>
          </w:tcPr>
          <w:p>
            <w:pPr>
              <w:spacing w:before="100" w:beforeAutospacing="1" w:after="100" w:afterAutospacing="1" w:line="440" w:lineRule="exact"/>
              <w:jc w:val="center"/>
              <w:rPr>
                <w:rFonts w:ascii="Times New Roman" w:hAnsi="Times New Roman"/>
                <w:sz w:val="24"/>
                <w:szCs w:val="24"/>
                <w:highlight w:val="none"/>
              </w:rPr>
            </w:pPr>
            <w:r>
              <w:rPr>
                <w:rFonts w:hint="eastAsia" w:ascii="Times New Roman" w:hAnsi="Times New Roman"/>
                <w:sz w:val="24"/>
                <w:szCs w:val="24"/>
                <w:highlight w:val="none"/>
              </w:rPr>
              <w:t>参加过的类似项目</w:t>
            </w:r>
          </w:p>
        </w:tc>
        <w:tc>
          <w:tcPr>
            <w:tcW w:w="1378" w:type="dxa"/>
            <w:vAlign w:val="center"/>
          </w:tcPr>
          <w:p>
            <w:pPr>
              <w:spacing w:before="100" w:beforeAutospacing="1" w:after="100" w:afterAutospacing="1" w:line="440" w:lineRule="exact"/>
              <w:jc w:val="center"/>
              <w:rPr>
                <w:rFonts w:ascii="Times New Roman" w:hAnsi="Times New Roman"/>
                <w:sz w:val="24"/>
                <w:szCs w:val="24"/>
                <w:highlight w:val="none"/>
              </w:rPr>
            </w:pPr>
            <w:r>
              <w:rPr>
                <w:rFonts w:hint="eastAsia" w:ascii="Times New Roman" w:hAnsi="Times New Roman"/>
                <w:sz w:val="24"/>
                <w:szCs w:val="24"/>
                <w:highlight w:val="none"/>
              </w:rPr>
              <w:t>担任职务</w:t>
            </w:r>
          </w:p>
        </w:tc>
        <w:tc>
          <w:tcPr>
            <w:tcW w:w="2509" w:type="dxa"/>
            <w:gridSpan w:val="2"/>
            <w:vAlign w:val="center"/>
          </w:tcPr>
          <w:p>
            <w:pPr>
              <w:spacing w:before="100" w:beforeAutospacing="1" w:after="100" w:afterAutospacing="1" w:line="440" w:lineRule="exact"/>
              <w:jc w:val="center"/>
              <w:rPr>
                <w:rFonts w:ascii="Times New Roman" w:hAnsi="Times New Roman"/>
                <w:sz w:val="24"/>
                <w:szCs w:val="24"/>
                <w:highlight w:val="none"/>
              </w:rPr>
            </w:pPr>
            <w:r>
              <w:rPr>
                <w:rFonts w:hint="eastAsia" w:ascii="Times New Roman" w:hAnsi="Times New Roman"/>
                <w:sz w:val="24"/>
                <w:szCs w:val="24"/>
                <w:highlight w:val="none"/>
                <w:lang w:val="en-US" w:eastAsia="zh-CN"/>
              </w:rPr>
              <w:t>委托</w:t>
            </w:r>
            <w:r>
              <w:rPr>
                <w:rFonts w:hint="eastAsia" w:ascii="Times New Roman" w:hAnsi="Times New Roman"/>
                <w:sz w:val="24"/>
                <w:szCs w:val="24"/>
                <w:highlight w:val="none"/>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spacing w:line="440" w:lineRule="exact"/>
              <w:rPr>
                <w:rFonts w:ascii="Times New Roman" w:hAnsi="Times New Roman"/>
                <w:highlight w:val="none"/>
              </w:rPr>
            </w:pPr>
          </w:p>
        </w:tc>
        <w:tc>
          <w:tcPr>
            <w:tcW w:w="3736" w:type="dxa"/>
            <w:gridSpan w:val="4"/>
          </w:tcPr>
          <w:p>
            <w:pPr>
              <w:spacing w:line="440" w:lineRule="exact"/>
              <w:rPr>
                <w:rFonts w:ascii="Times New Roman" w:hAnsi="Times New Roman"/>
                <w:highlight w:val="none"/>
              </w:rPr>
            </w:pPr>
          </w:p>
        </w:tc>
        <w:tc>
          <w:tcPr>
            <w:tcW w:w="1378" w:type="dxa"/>
          </w:tcPr>
          <w:p>
            <w:pPr>
              <w:spacing w:line="440" w:lineRule="exact"/>
              <w:rPr>
                <w:rFonts w:ascii="Times New Roman" w:hAnsi="Times New Roman"/>
                <w:highlight w:val="none"/>
              </w:rPr>
            </w:pPr>
          </w:p>
        </w:tc>
        <w:tc>
          <w:tcPr>
            <w:tcW w:w="2509" w:type="dxa"/>
            <w:gridSpan w:val="2"/>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spacing w:line="440" w:lineRule="exact"/>
              <w:rPr>
                <w:rFonts w:ascii="Times New Roman" w:hAnsi="Times New Roman"/>
                <w:highlight w:val="none"/>
              </w:rPr>
            </w:pPr>
          </w:p>
        </w:tc>
        <w:tc>
          <w:tcPr>
            <w:tcW w:w="3736" w:type="dxa"/>
            <w:gridSpan w:val="4"/>
          </w:tcPr>
          <w:p>
            <w:pPr>
              <w:spacing w:line="440" w:lineRule="exact"/>
              <w:rPr>
                <w:rFonts w:ascii="Times New Roman" w:hAnsi="Times New Roman"/>
                <w:highlight w:val="none"/>
              </w:rPr>
            </w:pPr>
          </w:p>
        </w:tc>
        <w:tc>
          <w:tcPr>
            <w:tcW w:w="1378" w:type="dxa"/>
          </w:tcPr>
          <w:p>
            <w:pPr>
              <w:spacing w:line="440" w:lineRule="exact"/>
              <w:rPr>
                <w:rFonts w:ascii="Times New Roman" w:hAnsi="Times New Roman"/>
                <w:highlight w:val="none"/>
              </w:rPr>
            </w:pPr>
          </w:p>
        </w:tc>
        <w:tc>
          <w:tcPr>
            <w:tcW w:w="2509" w:type="dxa"/>
            <w:gridSpan w:val="2"/>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spacing w:line="440" w:lineRule="exact"/>
              <w:rPr>
                <w:rFonts w:ascii="Times New Roman" w:hAnsi="Times New Roman"/>
                <w:highlight w:val="none"/>
              </w:rPr>
            </w:pPr>
          </w:p>
        </w:tc>
        <w:tc>
          <w:tcPr>
            <w:tcW w:w="3736" w:type="dxa"/>
            <w:gridSpan w:val="4"/>
          </w:tcPr>
          <w:p>
            <w:pPr>
              <w:spacing w:line="440" w:lineRule="exact"/>
              <w:rPr>
                <w:rFonts w:ascii="Times New Roman" w:hAnsi="Times New Roman"/>
                <w:highlight w:val="none"/>
              </w:rPr>
            </w:pPr>
          </w:p>
        </w:tc>
        <w:tc>
          <w:tcPr>
            <w:tcW w:w="1378" w:type="dxa"/>
          </w:tcPr>
          <w:p>
            <w:pPr>
              <w:spacing w:line="440" w:lineRule="exact"/>
              <w:rPr>
                <w:rFonts w:ascii="Times New Roman" w:hAnsi="Times New Roman"/>
                <w:highlight w:val="none"/>
              </w:rPr>
            </w:pPr>
          </w:p>
        </w:tc>
        <w:tc>
          <w:tcPr>
            <w:tcW w:w="2509" w:type="dxa"/>
            <w:gridSpan w:val="2"/>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spacing w:line="440" w:lineRule="exact"/>
              <w:rPr>
                <w:rFonts w:ascii="Times New Roman" w:hAnsi="Times New Roman"/>
                <w:highlight w:val="none"/>
              </w:rPr>
            </w:pPr>
          </w:p>
        </w:tc>
        <w:tc>
          <w:tcPr>
            <w:tcW w:w="3736" w:type="dxa"/>
            <w:gridSpan w:val="4"/>
            <w:vAlign w:val="center"/>
          </w:tcPr>
          <w:p>
            <w:pPr>
              <w:spacing w:line="440" w:lineRule="exact"/>
              <w:rPr>
                <w:rFonts w:ascii="Times New Roman" w:hAnsi="Times New Roman"/>
                <w:highlight w:val="none"/>
              </w:rPr>
            </w:pPr>
          </w:p>
        </w:tc>
        <w:tc>
          <w:tcPr>
            <w:tcW w:w="1378" w:type="dxa"/>
            <w:vAlign w:val="center"/>
          </w:tcPr>
          <w:p>
            <w:pPr>
              <w:spacing w:line="440" w:lineRule="exact"/>
              <w:rPr>
                <w:rFonts w:ascii="Times New Roman" w:hAnsi="Times New Roman"/>
                <w:highlight w:val="none"/>
              </w:rPr>
            </w:pPr>
          </w:p>
        </w:tc>
        <w:tc>
          <w:tcPr>
            <w:tcW w:w="2509" w:type="dxa"/>
            <w:gridSpan w:val="2"/>
            <w:vAlign w:val="center"/>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spacing w:line="440" w:lineRule="exact"/>
              <w:rPr>
                <w:rFonts w:ascii="Times New Roman" w:hAnsi="Times New Roman"/>
                <w:highlight w:val="none"/>
              </w:rPr>
            </w:pPr>
          </w:p>
        </w:tc>
        <w:tc>
          <w:tcPr>
            <w:tcW w:w="3736" w:type="dxa"/>
            <w:gridSpan w:val="4"/>
            <w:vAlign w:val="center"/>
          </w:tcPr>
          <w:p>
            <w:pPr>
              <w:spacing w:line="440" w:lineRule="exact"/>
              <w:rPr>
                <w:rFonts w:ascii="Times New Roman" w:hAnsi="Times New Roman"/>
                <w:highlight w:val="none"/>
              </w:rPr>
            </w:pPr>
          </w:p>
        </w:tc>
        <w:tc>
          <w:tcPr>
            <w:tcW w:w="1378" w:type="dxa"/>
            <w:vAlign w:val="center"/>
          </w:tcPr>
          <w:p>
            <w:pPr>
              <w:spacing w:line="440" w:lineRule="exact"/>
              <w:rPr>
                <w:rFonts w:ascii="Times New Roman" w:hAnsi="Times New Roman"/>
                <w:highlight w:val="none"/>
              </w:rPr>
            </w:pPr>
          </w:p>
        </w:tc>
        <w:tc>
          <w:tcPr>
            <w:tcW w:w="2509" w:type="dxa"/>
            <w:gridSpan w:val="2"/>
            <w:vAlign w:val="center"/>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spacing w:line="440" w:lineRule="exact"/>
              <w:rPr>
                <w:rFonts w:ascii="Times New Roman" w:hAnsi="Times New Roman"/>
                <w:highlight w:val="none"/>
              </w:rPr>
            </w:pPr>
          </w:p>
        </w:tc>
        <w:tc>
          <w:tcPr>
            <w:tcW w:w="3736" w:type="dxa"/>
            <w:gridSpan w:val="4"/>
            <w:vAlign w:val="center"/>
          </w:tcPr>
          <w:p>
            <w:pPr>
              <w:spacing w:line="440" w:lineRule="exact"/>
              <w:rPr>
                <w:rFonts w:ascii="Times New Roman" w:hAnsi="Times New Roman"/>
                <w:highlight w:val="none"/>
              </w:rPr>
            </w:pPr>
          </w:p>
        </w:tc>
        <w:tc>
          <w:tcPr>
            <w:tcW w:w="1378" w:type="dxa"/>
            <w:vAlign w:val="center"/>
          </w:tcPr>
          <w:p>
            <w:pPr>
              <w:spacing w:line="440" w:lineRule="exact"/>
              <w:rPr>
                <w:rFonts w:ascii="Times New Roman" w:hAnsi="Times New Roman"/>
                <w:highlight w:val="none"/>
              </w:rPr>
            </w:pPr>
          </w:p>
        </w:tc>
        <w:tc>
          <w:tcPr>
            <w:tcW w:w="2509" w:type="dxa"/>
            <w:gridSpan w:val="2"/>
            <w:vAlign w:val="center"/>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687" w:type="dxa"/>
            <w:gridSpan w:val="2"/>
            <w:vAlign w:val="center"/>
          </w:tcPr>
          <w:p>
            <w:pPr>
              <w:spacing w:line="440" w:lineRule="exact"/>
              <w:rPr>
                <w:rFonts w:ascii="Times New Roman" w:hAnsi="Times New Roman"/>
                <w:highlight w:val="none"/>
              </w:rPr>
            </w:pPr>
          </w:p>
        </w:tc>
        <w:tc>
          <w:tcPr>
            <w:tcW w:w="3736" w:type="dxa"/>
            <w:gridSpan w:val="4"/>
            <w:vAlign w:val="center"/>
          </w:tcPr>
          <w:p>
            <w:pPr>
              <w:spacing w:line="440" w:lineRule="exact"/>
              <w:rPr>
                <w:rFonts w:ascii="Times New Roman" w:hAnsi="Times New Roman"/>
                <w:highlight w:val="none"/>
              </w:rPr>
            </w:pPr>
          </w:p>
        </w:tc>
        <w:tc>
          <w:tcPr>
            <w:tcW w:w="1378" w:type="dxa"/>
            <w:vAlign w:val="center"/>
          </w:tcPr>
          <w:p>
            <w:pPr>
              <w:spacing w:line="440" w:lineRule="exact"/>
              <w:rPr>
                <w:rFonts w:ascii="Times New Roman" w:hAnsi="Times New Roman"/>
                <w:highlight w:val="none"/>
              </w:rPr>
            </w:pPr>
          </w:p>
        </w:tc>
        <w:tc>
          <w:tcPr>
            <w:tcW w:w="2509" w:type="dxa"/>
            <w:gridSpan w:val="2"/>
            <w:vAlign w:val="center"/>
          </w:tcPr>
          <w:p>
            <w:pPr>
              <w:spacing w:line="440" w:lineRule="exact"/>
              <w:rPr>
                <w:rFonts w:ascii="Times New Roman" w:hAnsi="Times New Roman"/>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供应商</w:t>
      </w:r>
      <w:r>
        <w:rPr>
          <w:rFonts w:hint="eastAsia" w:ascii="宋体" w:hAnsi="宋体" w:eastAsia="宋体" w:cs="宋体"/>
          <w:sz w:val="24"/>
          <w:szCs w:val="20"/>
          <w:highlight w:val="none"/>
        </w:rPr>
        <w:t>：</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w:t>
      </w:r>
      <w:r>
        <w:rPr>
          <w:rFonts w:hint="eastAsia" w:ascii="宋体" w:hAnsi="宋体" w:eastAsia="宋体" w:cs="宋体"/>
          <w:sz w:val="24"/>
          <w:szCs w:val="20"/>
          <w:highlight w:val="none"/>
          <w:lang w:val="en-US" w:eastAsia="zh-CN"/>
        </w:rPr>
        <w:t>公</w:t>
      </w:r>
      <w:r>
        <w:rPr>
          <w:rFonts w:hint="eastAsia" w:ascii="宋体" w:hAnsi="宋体" w:eastAsia="宋体" w:cs="宋体"/>
          <w:sz w:val="24"/>
          <w:szCs w:val="20"/>
          <w:highlight w:val="none"/>
        </w:rPr>
        <w:t>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宋体" w:hAnsi="宋体" w:eastAsia="宋体" w:cs="宋体"/>
          <w:sz w:val="24"/>
          <w:szCs w:val="20"/>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sz w:val="24"/>
          <w:szCs w:val="20"/>
          <w:highlight w:val="none"/>
        </w:rPr>
        <w:t>或其委托代理人：</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（签字</w:t>
      </w:r>
      <w:r>
        <w:rPr>
          <w:rFonts w:hint="eastAsia" w:ascii="宋体" w:hAnsi="宋体" w:eastAsia="宋体" w:cs="宋体"/>
          <w:sz w:val="24"/>
          <w:szCs w:val="20"/>
          <w:highlight w:val="none"/>
          <w:lang w:val="en-US" w:eastAsia="zh-CN"/>
        </w:rPr>
        <w:t>或盖章</w:t>
      </w:r>
      <w:r>
        <w:rPr>
          <w:rFonts w:hint="eastAsia" w:ascii="宋体" w:hAnsi="宋体" w:eastAsia="宋体" w:cs="宋体"/>
          <w:sz w:val="24"/>
          <w:szCs w:val="20"/>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4"/>
          <w:szCs w:val="20"/>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0"/>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0"/>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0"/>
          <w:highlight w:val="none"/>
        </w:rPr>
        <w:t>日</w:t>
      </w:r>
    </w:p>
    <w:p>
      <w:pPr>
        <w:pStyle w:val="37"/>
        <w:spacing w:line="360" w:lineRule="auto"/>
        <w:ind w:firstLine="0"/>
        <w:jc w:val="center"/>
        <w:rPr>
          <w:rFonts w:hint="eastAsia" w:asciiTheme="minorEastAsia" w:hAnsiTheme="minorEastAsia" w:cstheme="minorEastAsia"/>
          <w:b/>
          <w:sz w:val="30"/>
          <w:szCs w:val="30"/>
          <w:highlight w:val="none"/>
        </w:rPr>
      </w:pPr>
    </w:p>
    <w:p>
      <w:pPr>
        <w:rPr>
          <w:rFonts w:hint="eastAsia"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rPr>
        <w:br w:type="page"/>
      </w:r>
    </w:p>
    <w:p>
      <w:pPr>
        <w:pStyle w:val="37"/>
        <w:spacing w:line="360" w:lineRule="auto"/>
        <w:ind w:firstLine="0"/>
        <w:jc w:val="center"/>
        <w:rPr>
          <w:rFonts w:hint="default" w:ascii="宋体" w:hAnsi="宋体" w:eastAsiaTheme="minorEastAsia"/>
          <w:b/>
          <w:sz w:val="30"/>
          <w:szCs w:val="30"/>
          <w:highlight w:val="none"/>
          <w:lang w:val="en-US" w:eastAsia="zh-CN"/>
        </w:rPr>
      </w:pPr>
      <w:r>
        <w:rPr>
          <w:rFonts w:hint="eastAsia" w:ascii="宋体" w:hAnsi="宋体"/>
          <w:b/>
          <w:sz w:val="30"/>
          <w:szCs w:val="30"/>
          <w:highlight w:val="none"/>
          <w:lang w:val="en-US" w:eastAsia="zh-CN"/>
        </w:rPr>
        <w:t>八、实施方案</w:t>
      </w:r>
    </w:p>
    <w:p>
      <w:pPr>
        <w:jc w:val="center"/>
        <w:rPr>
          <w:rFonts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rPr>
        <w:br w:type="page"/>
      </w:r>
    </w:p>
    <w:p>
      <w:pPr>
        <w:jc w:val="center"/>
        <w:rPr>
          <w:b/>
          <w:bCs/>
          <w:highlight w:val="none"/>
        </w:rPr>
      </w:pPr>
      <w:r>
        <w:rPr>
          <w:rFonts w:hint="eastAsia" w:asciiTheme="minorEastAsia" w:hAnsiTheme="minorEastAsia" w:cstheme="minorEastAsia"/>
          <w:b/>
          <w:sz w:val="30"/>
          <w:szCs w:val="30"/>
          <w:highlight w:val="none"/>
          <w:lang w:val="en-US" w:eastAsia="zh-CN"/>
        </w:rPr>
        <w:t>九</w:t>
      </w:r>
      <w:r>
        <w:rPr>
          <w:rFonts w:hint="eastAsia" w:asciiTheme="minorEastAsia" w:hAnsiTheme="minorEastAsia" w:cstheme="minorEastAsia"/>
          <w:b/>
          <w:sz w:val="30"/>
          <w:szCs w:val="30"/>
          <w:highlight w:val="none"/>
        </w:rPr>
        <w:t>、信用承诺书</w:t>
      </w:r>
    </w:p>
    <w:p>
      <w:pPr>
        <w:spacing w:line="48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我单位</w:t>
      </w:r>
      <w:r>
        <w:rPr>
          <w:rFonts w:hint="eastAsia" w:ascii="宋体" w:hAnsi="宋体" w:cs="宋体"/>
          <w:sz w:val="24"/>
          <w:szCs w:val="24"/>
          <w:highlight w:val="none"/>
          <w:u w:val="single"/>
        </w:rPr>
        <w:t xml:space="preserve">    （单位名称）     </w:t>
      </w:r>
      <w:r>
        <w:rPr>
          <w:rFonts w:hint="eastAsia" w:ascii="宋体" w:hAnsi="宋体" w:cs="宋体"/>
          <w:sz w:val="24"/>
          <w:szCs w:val="24"/>
          <w:highlight w:val="none"/>
        </w:rPr>
        <w:t>响应</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项目磋商文件要求，对本单位信用情况郑重承诺如下：</w:t>
      </w:r>
    </w:p>
    <w:p>
      <w:pPr>
        <w:spacing w:line="48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截至磋商截止时间，我单位未被“信用中国”网站（www.creditchina.gov.cn）列入失信被执行人名单。</w:t>
      </w:r>
    </w:p>
    <w:p>
      <w:pPr>
        <w:spacing w:line="48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若我单位提供虚假承诺，我单位同意所递交的响应文件作无效处理，并愿意接受相关部门公开通报，按照有关法律法规规定接受处罚，由此造成的一切经济责任和法律责任由我单位自行承担。</w:t>
      </w:r>
    </w:p>
    <w:p>
      <w:pPr>
        <w:rPr>
          <w:highlight w:val="none"/>
        </w:rPr>
      </w:pPr>
    </w:p>
    <w:p>
      <w:pPr>
        <w:rPr>
          <w:highlight w:val="none"/>
        </w:rPr>
      </w:pPr>
    </w:p>
    <w:p>
      <w:pPr>
        <w:rPr>
          <w:highlight w:val="none"/>
        </w:rPr>
      </w:pPr>
    </w:p>
    <w:p>
      <w:pPr>
        <w:rPr>
          <w:highlight w:val="none"/>
        </w:rPr>
      </w:pPr>
    </w:p>
    <w:p>
      <w:pPr>
        <w:rPr>
          <w:highlight w:val="none"/>
        </w:rPr>
      </w:pPr>
    </w:p>
    <w:p>
      <w:pPr>
        <w:spacing w:line="36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供应商：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（公章）</w:t>
      </w:r>
    </w:p>
    <w:p>
      <w:pPr>
        <w:widowControl/>
        <w:spacing w:line="48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法定代表人或</w:t>
      </w:r>
      <w:r>
        <w:rPr>
          <w:rFonts w:hint="eastAsia" w:asciiTheme="minorEastAsia" w:hAnsiTheme="minorEastAsia" w:cstheme="minorEastAsia"/>
          <w:sz w:val="24"/>
          <w:highlight w:val="none"/>
          <w:lang w:val="en-US" w:eastAsia="zh-CN"/>
        </w:rPr>
        <w:t>其</w:t>
      </w:r>
      <w:r>
        <w:rPr>
          <w:rFonts w:hint="eastAsia" w:asciiTheme="minorEastAsia" w:hAnsiTheme="minorEastAsia" w:cstheme="minorEastAsia"/>
          <w:sz w:val="24"/>
          <w:highlight w:val="none"/>
        </w:rPr>
        <w:t>授权委托人：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（签字或盖章）</w:t>
      </w:r>
    </w:p>
    <w:p>
      <w:pPr>
        <w:widowControl/>
        <w:spacing w:line="48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日期：    年  月  日</w:t>
      </w:r>
    </w:p>
    <w:p>
      <w:pPr>
        <w:rPr>
          <w:rFonts w:ascii="宋体" w:hAnsi="宋体" w:eastAsia="宋体" w:cs="宋体"/>
          <w:bCs/>
          <w:sz w:val="24"/>
          <w:highlight w:val="none"/>
        </w:rPr>
      </w:pPr>
    </w:p>
    <w:p>
      <w:pPr>
        <w:rPr>
          <w:rFonts w:hint="eastAsia"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rPr>
        <w:br w:type="page"/>
      </w:r>
    </w:p>
    <w:p>
      <w:pPr>
        <w:spacing w:line="480" w:lineRule="auto"/>
        <w:jc w:val="center"/>
        <w:rPr>
          <w:rFonts w:asciiTheme="minorEastAsia" w:hAnsiTheme="minorEastAsia" w:cstheme="minorEastAsia"/>
          <w:b/>
          <w:bCs/>
          <w:sz w:val="28"/>
          <w:szCs w:val="28"/>
          <w:highlight w:val="none"/>
        </w:rPr>
      </w:pPr>
      <w:r>
        <w:rPr>
          <w:rFonts w:hint="eastAsia" w:asciiTheme="minorEastAsia" w:hAnsiTheme="minorEastAsia" w:cstheme="minorEastAsia"/>
          <w:b/>
          <w:sz w:val="30"/>
          <w:szCs w:val="30"/>
          <w:highlight w:val="none"/>
        </w:rPr>
        <w:t>十、供应商认为需要提供的其他资料</w:t>
      </w:r>
    </w:p>
    <w:p>
      <w:pPr>
        <w:rPr>
          <w:rFonts w:asciiTheme="majorEastAsia" w:hAnsiTheme="majorEastAsia" w:eastAsiaTheme="majorEastAsia" w:cstheme="majorEastAsia"/>
          <w:sz w:val="32"/>
          <w:szCs w:val="32"/>
          <w:highlight w:val="none"/>
        </w:rPr>
      </w:pPr>
      <w:r>
        <w:rPr>
          <w:rFonts w:hint="eastAsia" w:asciiTheme="minorEastAsia" w:hAnsiTheme="minorEastAsia" w:cstheme="minorEastAsia"/>
          <w:b/>
          <w:bCs/>
          <w:sz w:val="32"/>
          <w:szCs w:val="32"/>
          <w:highlight w:val="none"/>
        </w:rPr>
        <w:br w:type="page"/>
      </w:r>
    </w:p>
    <w:p>
      <w:pPr>
        <w:pStyle w:val="2"/>
        <w:spacing w:line="520" w:lineRule="exact"/>
        <w:jc w:val="center"/>
        <w:rPr>
          <w:rFonts w:asciiTheme="majorEastAsia" w:hAnsiTheme="majorEastAsia" w:eastAsiaTheme="majorEastAsia" w:cstheme="majorEastAsia"/>
          <w:sz w:val="32"/>
          <w:szCs w:val="32"/>
          <w:highlight w:val="none"/>
        </w:rPr>
      </w:pPr>
      <w:bookmarkStart w:id="18" w:name="_Toc971"/>
      <w:r>
        <w:rPr>
          <w:rFonts w:hint="eastAsia" w:asciiTheme="majorEastAsia" w:hAnsiTheme="majorEastAsia" w:eastAsiaTheme="majorEastAsia" w:cstheme="majorEastAsia"/>
          <w:sz w:val="32"/>
          <w:szCs w:val="32"/>
          <w:highlight w:val="none"/>
        </w:rPr>
        <w:t>第</w:t>
      </w:r>
      <w:r>
        <w:rPr>
          <w:rFonts w:hint="eastAsia" w:asciiTheme="majorEastAsia" w:hAnsiTheme="majorEastAsia" w:eastAsiaTheme="majorEastAsia" w:cstheme="majorEastAsia"/>
          <w:sz w:val="32"/>
          <w:szCs w:val="32"/>
          <w:highlight w:val="none"/>
          <w:lang w:val="en-US" w:eastAsia="zh-CN"/>
        </w:rPr>
        <w:t>六</w:t>
      </w:r>
      <w:r>
        <w:rPr>
          <w:rFonts w:hint="eastAsia" w:asciiTheme="majorEastAsia" w:hAnsiTheme="majorEastAsia" w:eastAsiaTheme="majorEastAsia" w:cstheme="majorEastAsia"/>
          <w:sz w:val="32"/>
          <w:szCs w:val="32"/>
          <w:highlight w:val="none"/>
        </w:rPr>
        <w:t>章 评审办法</w:t>
      </w:r>
      <w:bookmarkEnd w:id="18"/>
    </w:p>
    <w:p>
      <w:pPr>
        <w:pStyle w:val="17"/>
        <w:widowControl/>
        <w:spacing w:line="480" w:lineRule="exac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一、评审原则</w:t>
      </w:r>
    </w:p>
    <w:p>
      <w:pPr>
        <w:pStyle w:val="17"/>
        <w:widowControl/>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17"/>
        <w:widowControl/>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2、磋商小组应当根据综合评分情况，按照评审得分由高到低顺序推荐三名成交候选供应商，编写评审报告</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并根据采购人授权，直接确定第一</w:t>
      </w:r>
      <w:r>
        <w:rPr>
          <w:rFonts w:hint="eastAsia" w:asciiTheme="minorEastAsia" w:hAnsiTheme="minorEastAsia" w:eastAsiaTheme="minorEastAsia" w:cstheme="minorEastAsia"/>
          <w:sz w:val="24"/>
          <w:szCs w:val="24"/>
          <w:highlight w:val="none"/>
        </w:rPr>
        <w:t>成交候选供应商</w:t>
      </w:r>
      <w:r>
        <w:rPr>
          <w:rFonts w:hint="eastAsia" w:asciiTheme="minorEastAsia" w:hAnsiTheme="minorEastAsia" w:eastAsiaTheme="minorEastAsia" w:cstheme="minorEastAsia"/>
          <w:sz w:val="24"/>
          <w:szCs w:val="24"/>
          <w:highlight w:val="none"/>
          <w:lang w:val="en-US" w:eastAsia="zh-CN"/>
        </w:rPr>
        <w:t>的供应商为成交供应商</w:t>
      </w:r>
      <w:r>
        <w:rPr>
          <w:rFonts w:hint="eastAsia" w:asciiTheme="minorEastAsia" w:hAnsiTheme="minorEastAsia" w:eastAsiaTheme="minorEastAsia" w:cstheme="minorEastAsia"/>
          <w:sz w:val="24"/>
          <w:szCs w:val="24"/>
          <w:highlight w:val="none"/>
        </w:rPr>
        <w:t>。得分相同的，按报价由低到高顺序排列，报价较低的一方排位靠前；得分且报价</w:t>
      </w:r>
      <w:r>
        <w:rPr>
          <w:rFonts w:hint="eastAsia" w:asciiTheme="minorEastAsia" w:hAnsiTheme="minorEastAsia" w:cstheme="minorEastAsia"/>
          <w:sz w:val="24"/>
          <w:szCs w:val="24"/>
          <w:highlight w:val="none"/>
        </w:rPr>
        <w:t>均</w:t>
      </w:r>
      <w:r>
        <w:rPr>
          <w:rFonts w:hint="eastAsia" w:asciiTheme="minorEastAsia" w:hAnsiTheme="minorEastAsia" w:eastAsiaTheme="minorEastAsia" w:cstheme="minorEastAsia"/>
          <w:sz w:val="24"/>
          <w:szCs w:val="24"/>
          <w:highlight w:val="none"/>
        </w:rPr>
        <w:t>相同的，按</w:t>
      </w:r>
      <w:r>
        <w:rPr>
          <w:rFonts w:hint="eastAsia" w:asciiTheme="minorEastAsia" w:hAnsiTheme="minorEastAsia" w:eastAsiaTheme="minorEastAsia" w:cstheme="minorEastAsia"/>
          <w:sz w:val="24"/>
          <w:szCs w:val="24"/>
          <w:highlight w:val="none"/>
          <w:lang w:val="en-US" w:eastAsia="zh-CN"/>
        </w:rPr>
        <w:t>服务方案</w:t>
      </w:r>
      <w:r>
        <w:rPr>
          <w:rFonts w:hint="eastAsia" w:asciiTheme="minorEastAsia" w:hAnsiTheme="minorEastAsia" w:eastAsiaTheme="minorEastAsia" w:cstheme="minorEastAsia"/>
          <w:sz w:val="24"/>
          <w:szCs w:val="24"/>
          <w:highlight w:val="none"/>
        </w:rPr>
        <w:t>优劣顺序排列，</w:t>
      </w:r>
      <w:r>
        <w:rPr>
          <w:rFonts w:hint="eastAsia" w:asciiTheme="minorEastAsia" w:hAnsiTheme="minorEastAsia" w:eastAsiaTheme="minorEastAsia" w:cstheme="minorEastAsia"/>
          <w:sz w:val="24"/>
          <w:szCs w:val="24"/>
          <w:highlight w:val="none"/>
          <w:lang w:val="en-US" w:eastAsia="zh-CN"/>
        </w:rPr>
        <w:t>服务方案</w:t>
      </w:r>
      <w:r>
        <w:rPr>
          <w:rFonts w:hint="eastAsia" w:asciiTheme="minorEastAsia" w:hAnsiTheme="minorEastAsia" w:eastAsiaTheme="minorEastAsia" w:cstheme="minorEastAsia"/>
          <w:sz w:val="24"/>
          <w:szCs w:val="24"/>
          <w:highlight w:val="none"/>
        </w:rPr>
        <w:t>较优的一方排位靠前。</w:t>
      </w:r>
    </w:p>
    <w:p>
      <w:pPr>
        <w:pStyle w:val="17"/>
        <w:widowControl/>
        <w:spacing w:line="4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评审报告应当由磋商小组全体人员签字认可。磋商小组成员对评审报告有异议的，磋商小组按照少数服从多数的原则，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5"/>
        <w:keepNext w:val="0"/>
        <w:keepLines w:val="0"/>
        <w:pageBreakBefore w:val="0"/>
        <w:widowControl w:val="0"/>
        <w:tabs>
          <w:tab w:val="right" w:leader="dot" w:pos="905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kern w:val="2"/>
          <w:sz w:val="24"/>
          <w:szCs w:val="24"/>
          <w:highlight w:val="none"/>
          <w:lang w:val="en-US" w:eastAsia="zh-CN" w:bidi="ar-SA"/>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pPr>
        <w:pStyle w:val="17"/>
        <w:widowControl/>
        <w:spacing w:line="480" w:lineRule="exact"/>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二、评审办法</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7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4"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评审项目</w:t>
            </w:r>
          </w:p>
        </w:tc>
        <w:tc>
          <w:tcPr>
            <w:tcW w:w="4255"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评审内容和标准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744"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4255"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供应商按照磋商文件要求自主报价。自主报价是指供应商在综合考虑本单位各项成本费用基础上确定的报价。</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满足磋商文件要求且</w:t>
            </w:r>
            <w:r>
              <w:rPr>
                <w:rFonts w:hint="eastAsia" w:ascii="宋体" w:hAnsi="宋体" w:eastAsia="宋体" w:cs="宋体"/>
                <w:color w:val="auto"/>
                <w:szCs w:val="21"/>
                <w:highlight w:val="none"/>
                <w:lang w:val="en-US" w:eastAsia="zh-CN"/>
              </w:rPr>
              <w:t>最后</w:t>
            </w:r>
            <w:r>
              <w:rPr>
                <w:rFonts w:hint="eastAsia" w:ascii="宋体" w:hAnsi="宋体" w:eastAsia="宋体" w:cs="宋体"/>
                <w:color w:val="auto"/>
                <w:szCs w:val="21"/>
                <w:highlight w:val="none"/>
              </w:rPr>
              <w:t>价格最低的报价为磋商基准价，其价格分为满分。各供应商的价格分统一按照下列公式计算：</w:t>
            </w:r>
            <w:r>
              <w:rPr>
                <w:rFonts w:hint="eastAsia" w:ascii="宋体" w:hAnsi="宋体" w:eastAsia="宋体" w:cs="宋体"/>
                <w:szCs w:val="21"/>
                <w:highlight w:val="none"/>
              </w:rPr>
              <w:t>磋商报价得分=（磋商基准价/</w:t>
            </w:r>
            <w:r>
              <w:rPr>
                <w:rFonts w:hint="eastAsia" w:ascii="宋体" w:hAnsi="宋体" w:eastAsia="宋体" w:cs="宋体"/>
                <w:szCs w:val="21"/>
                <w:highlight w:val="none"/>
                <w:lang w:val="en-US" w:eastAsia="zh-CN"/>
              </w:rPr>
              <w:t>最后</w:t>
            </w:r>
            <w:r>
              <w:rPr>
                <w:rFonts w:hint="eastAsia" w:ascii="宋体" w:hAnsi="宋体" w:eastAsia="宋体" w:cs="宋体"/>
                <w:szCs w:val="21"/>
                <w:highlight w:val="none"/>
              </w:rPr>
              <w:t>报价）×</w:t>
            </w:r>
            <w:r>
              <w:rPr>
                <w:rFonts w:hint="eastAsia" w:ascii="宋体" w:hAnsi="宋体" w:eastAsia="宋体" w:cs="宋体"/>
                <w:color w:val="auto"/>
                <w:szCs w:val="21"/>
                <w:highlight w:val="none"/>
                <w:lang w:val="en-US" w:eastAsia="zh-CN"/>
              </w:rPr>
              <w:t>10%×100</w:t>
            </w:r>
            <w:r>
              <w:rPr>
                <w:rFonts w:hint="eastAsia" w:ascii="宋体" w:hAnsi="宋体" w:eastAsia="宋体" w:cs="宋体"/>
                <w:color w:val="auto"/>
                <w:szCs w:val="21"/>
                <w:highlight w:val="none"/>
              </w:rPr>
              <w:t>。（四舍五入保留两位小数）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44"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企业业绩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szCs w:val="21"/>
                <w:highlight w:val="none"/>
              </w:rPr>
              <w:t>分）</w:t>
            </w:r>
          </w:p>
        </w:tc>
        <w:tc>
          <w:tcPr>
            <w:tcW w:w="4255"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供应商20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年1月1日以来（以签订时间为准）</w:t>
            </w:r>
            <w:r>
              <w:rPr>
                <w:rFonts w:hint="eastAsia" w:ascii="宋体" w:hAnsi="宋体" w:eastAsia="宋体" w:cs="宋体"/>
                <w:szCs w:val="21"/>
                <w:highlight w:val="none"/>
                <w:lang w:val="en-US" w:eastAsia="zh-CN"/>
              </w:rPr>
              <w:t>承接过类似项目</w:t>
            </w:r>
            <w:r>
              <w:rPr>
                <w:rFonts w:hint="eastAsia" w:ascii="宋体" w:hAnsi="宋体" w:eastAsia="宋体" w:cs="宋体"/>
                <w:szCs w:val="21"/>
                <w:highlight w:val="none"/>
              </w:rPr>
              <w:t>业绩，每提供1份得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分。以</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时提供</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合同原件为准，否则不予加分。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44"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人员配备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4255"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评价项目负责人及主要检测人员的能力、技术水平、各专业岗位人员搭配是否合理，是否满足该项目要求，在6-10分范围内评分，</w:t>
            </w:r>
            <w:r>
              <w:rPr>
                <w:rFonts w:hint="eastAsia" w:ascii="宋体" w:hAnsi="宋体" w:eastAsia="宋体" w:cs="宋体"/>
                <w:sz w:val="21"/>
                <w:szCs w:val="21"/>
                <w:highlight w:val="none"/>
                <w:lang w:val="en-US" w:eastAsia="zh-CN"/>
              </w:rPr>
              <w:t>无相关描述不得分</w:t>
            </w:r>
            <w:r>
              <w:rPr>
                <w:rFonts w:hint="eastAsia" w:ascii="宋体" w:hAnsi="宋体" w:eastAsia="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4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val="0"/>
                <w:sz w:val="21"/>
                <w:szCs w:val="21"/>
                <w:highlight w:val="none"/>
                <w:lang w:val="en-US" w:eastAsia="zh-CN"/>
              </w:rPr>
            </w:pPr>
            <w:r>
              <w:rPr>
                <w:rFonts w:hint="eastAsia" w:ascii="宋体" w:hAnsi="宋体" w:eastAsia="宋体" w:cs="宋体"/>
                <w:bCs w:val="0"/>
                <w:sz w:val="21"/>
                <w:szCs w:val="21"/>
                <w:highlight w:val="none"/>
                <w:lang w:val="en-US" w:eastAsia="zh-CN"/>
              </w:rPr>
              <w:t>服务方案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bCs w:val="0"/>
                <w:sz w:val="21"/>
                <w:szCs w:val="21"/>
                <w:highlight w:val="none"/>
                <w:lang w:eastAsia="zh-CN"/>
              </w:rPr>
              <w:t>（</w:t>
            </w:r>
            <w:r>
              <w:rPr>
                <w:rFonts w:hint="eastAsia" w:ascii="宋体" w:hAnsi="宋体" w:eastAsia="宋体" w:cs="宋体"/>
                <w:bCs w:val="0"/>
                <w:sz w:val="21"/>
                <w:szCs w:val="21"/>
                <w:highlight w:val="none"/>
                <w:lang w:val="en-US" w:eastAsia="zh-CN"/>
              </w:rPr>
              <w:t>70</w:t>
            </w:r>
            <w:r>
              <w:rPr>
                <w:rFonts w:hint="eastAsia" w:ascii="宋体" w:hAnsi="宋体" w:eastAsia="宋体" w:cs="宋体"/>
                <w:bCs w:val="0"/>
                <w:sz w:val="21"/>
                <w:szCs w:val="21"/>
                <w:highlight w:val="none"/>
                <w:lang w:eastAsia="zh-CN"/>
              </w:rPr>
              <w:t>分）</w:t>
            </w:r>
          </w:p>
        </w:tc>
        <w:tc>
          <w:tcPr>
            <w:tcW w:w="42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 w:val="21"/>
                <w:szCs w:val="21"/>
                <w:highlight w:val="none"/>
                <w:lang w:val="en-US" w:eastAsia="zh-CN"/>
              </w:rPr>
              <w:t>检测工作的指导思想是否与工程实际相结合，是否符合国家现行政策，</w:t>
            </w:r>
            <w:r>
              <w:rPr>
                <w:rFonts w:hint="eastAsia" w:ascii="宋体" w:hAnsi="宋体" w:eastAsia="宋体" w:cs="宋体"/>
                <w:sz w:val="21"/>
                <w:szCs w:val="21"/>
                <w:highlight w:val="none"/>
                <w:lang w:val="en-US"/>
              </w:rPr>
              <w:t>在</w:t>
            </w:r>
            <w:r>
              <w:rPr>
                <w:rFonts w:hint="eastAsia" w:ascii="宋体" w:hAnsi="宋体" w:eastAsia="宋体" w:cs="宋体"/>
                <w:sz w:val="21"/>
                <w:szCs w:val="21"/>
                <w:highlight w:val="none"/>
                <w:lang w:val="en-US" w:eastAsia="zh-CN"/>
              </w:rPr>
              <w:t>6-10</w:t>
            </w:r>
            <w:r>
              <w:rPr>
                <w:rFonts w:hint="eastAsia" w:ascii="宋体" w:hAnsi="宋体" w:eastAsia="宋体" w:cs="宋体"/>
                <w:sz w:val="21"/>
                <w:szCs w:val="21"/>
                <w:highlight w:val="none"/>
                <w:lang w:val="en-US"/>
              </w:rPr>
              <w:t>分范围内评分</w:t>
            </w:r>
            <w:r>
              <w:rPr>
                <w:rFonts w:hint="eastAsia" w:ascii="宋体" w:hAnsi="宋体" w:eastAsia="宋体" w:cs="宋体"/>
                <w:sz w:val="21"/>
                <w:szCs w:val="21"/>
                <w:highlight w:val="none"/>
                <w:lang w:val="en-US" w:eastAsia="zh-CN"/>
              </w:rPr>
              <w:t>。无相关描述不得分。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4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p>
        </w:tc>
        <w:tc>
          <w:tcPr>
            <w:tcW w:w="42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检测方案的合理性、可行性，在6-10分范围内评分。无相关描述不得分。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4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p>
        </w:tc>
        <w:tc>
          <w:tcPr>
            <w:tcW w:w="42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进度计划及保证措施合理性、可行性，在6-10分范围内评分。无相关描述不得分。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4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p>
        </w:tc>
        <w:tc>
          <w:tcPr>
            <w:tcW w:w="42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质量保证措施合理性、可行性，在6-10分范围内评分。无相关描述不得分。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4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p>
        </w:tc>
        <w:tc>
          <w:tcPr>
            <w:tcW w:w="42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安全控制措施合理性、可行性，在6-10分范围内评分。无相关描述不得分。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4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p>
        </w:tc>
        <w:tc>
          <w:tcPr>
            <w:tcW w:w="42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工作重点分析和服务措施合理性、可行性，在6-10分范围内评分。无相关描述不得分。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4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p>
        </w:tc>
        <w:tc>
          <w:tcPr>
            <w:tcW w:w="42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检测工作的检测目标是否与工程实际相结合，是否符合国家现行政策，</w:t>
            </w:r>
            <w:r>
              <w:rPr>
                <w:rFonts w:hint="eastAsia" w:ascii="宋体" w:hAnsi="宋体" w:eastAsia="宋体" w:cs="宋体"/>
                <w:sz w:val="21"/>
                <w:szCs w:val="21"/>
                <w:highlight w:val="none"/>
                <w:lang w:val="en-US"/>
              </w:rPr>
              <w:t>在</w:t>
            </w:r>
            <w:r>
              <w:rPr>
                <w:rFonts w:hint="eastAsia" w:ascii="宋体" w:hAnsi="宋体" w:eastAsia="宋体" w:cs="宋体"/>
                <w:sz w:val="21"/>
                <w:szCs w:val="21"/>
                <w:highlight w:val="none"/>
                <w:lang w:val="en-US" w:eastAsia="zh-CN"/>
              </w:rPr>
              <w:t>6-10</w:t>
            </w:r>
            <w:r>
              <w:rPr>
                <w:rFonts w:hint="eastAsia" w:ascii="宋体" w:hAnsi="宋体" w:eastAsia="宋体" w:cs="宋体"/>
                <w:sz w:val="21"/>
                <w:szCs w:val="21"/>
                <w:highlight w:val="none"/>
                <w:lang w:val="en-US"/>
              </w:rPr>
              <w:t>分范围内评分</w:t>
            </w:r>
            <w:r>
              <w:rPr>
                <w:rFonts w:hint="eastAsia" w:ascii="宋体" w:hAnsi="宋体" w:eastAsia="宋体" w:cs="宋体"/>
                <w:sz w:val="21"/>
                <w:szCs w:val="21"/>
                <w:highlight w:val="none"/>
                <w:lang w:val="en-US" w:eastAsia="zh-CN"/>
              </w:rPr>
              <w:t>。无相关描述不得分。</w:t>
            </w:r>
          </w:p>
        </w:tc>
      </w:tr>
    </w:tbl>
    <w:p>
      <w:pPr>
        <w:rPr>
          <w:highlight w:val="none"/>
        </w:rPr>
      </w:pPr>
    </w:p>
    <w:sectPr>
      <w:pgSz w:w="11906" w:h="16838"/>
      <w:pgMar w:top="1270" w:right="1293" w:bottom="1270" w:left="1519"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A05EA"/>
    <w:multiLevelType w:val="singleLevel"/>
    <w:tmpl w:val="CF8A05EA"/>
    <w:lvl w:ilvl="0" w:tentative="0">
      <w:start w:val="2"/>
      <w:numFmt w:val="decimal"/>
      <w:suff w:val="nothing"/>
      <w:lvlText w:val="%1、"/>
      <w:lvlJc w:val="left"/>
    </w:lvl>
  </w:abstractNum>
  <w:abstractNum w:abstractNumId="1">
    <w:nsid w:val="EE8E21E2"/>
    <w:multiLevelType w:val="singleLevel"/>
    <w:tmpl w:val="EE8E21E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ZTJhYjljMjZlZjVmMzM5OGUyZTVlNjExMjJiNmIifQ=="/>
  </w:docVars>
  <w:rsids>
    <w:rsidRoot w:val="0BD0512D"/>
    <w:rsid w:val="00005EE8"/>
    <w:rsid w:val="00236A49"/>
    <w:rsid w:val="00456740"/>
    <w:rsid w:val="00482D3B"/>
    <w:rsid w:val="00485AF4"/>
    <w:rsid w:val="004E5A55"/>
    <w:rsid w:val="00656C83"/>
    <w:rsid w:val="0074522C"/>
    <w:rsid w:val="00A96559"/>
    <w:rsid w:val="00B202B2"/>
    <w:rsid w:val="00B8074A"/>
    <w:rsid w:val="01155B6C"/>
    <w:rsid w:val="017433BF"/>
    <w:rsid w:val="027B1A4A"/>
    <w:rsid w:val="032961E2"/>
    <w:rsid w:val="042B5B28"/>
    <w:rsid w:val="05AA2161"/>
    <w:rsid w:val="06073362"/>
    <w:rsid w:val="06BC5363"/>
    <w:rsid w:val="0710423A"/>
    <w:rsid w:val="08FD15DD"/>
    <w:rsid w:val="0AC01715"/>
    <w:rsid w:val="0B115E3C"/>
    <w:rsid w:val="0BD0512D"/>
    <w:rsid w:val="0CE0770E"/>
    <w:rsid w:val="0DED3196"/>
    <w:rsid w:val="0E404897"/>
    <w:rsid w:val="0F6F157B"/>
    <w:rsid w:val="10A34073"/>
    <w:rsid w:val="1105712E"/>
    <w:rsid w:val="11193ACF"/>
    <w:rsid w:val="114E6899"/>
    <w:rsid w:val="116E65C4"/>
    <w:rsid w:val="123E1DE7"/>
    <w:rsid w:val="128D0647"/>
    <w:rsid w:val="12AA4E86"/>
    <w:rsid w:val="13250D2F"/>
    <w:rsid w:val="135C6069"/>
    <w:rsid w:val="140A0A12"/>
    <w:rsid w:val="14F242DB"/>
    <w:rsid w:val="15227451"/>
    <w:rsid w:val="15F87A22"/>
    <w:rsid w:val="1605778C"/>
    <w:rsid w:val="16077093"/>
    <w:rsid w:val="172C766D"/>
    <w:rsid w:val="17B33B9A"/>
    <w:rsid w:val="18763476"/>
    <w:rsid w:val="18E632D8"/>
    <w:rsid w:val="197D70D3"/>
    <w:rsid w:val="19817F2A"/>
    <w:rsid w:val="19F261AC"/>
    <w:rsid w:val="1A5E749F"/>
    <w:rsid w:val="1A633B3E"/>
    <w:rsid w:val="1A6C1BBA"/>
    <w:rsid w:val="1ACA6A59"/>
    <w:rsid w:val="1B0410B5"/>
    <w:rsid w:val="1B9648BA"/>
    <w:rsid w:val="1BE763D1"/>
    <w:rsid w:val="1D43178B"/>
    <w:rsid w:val="1E37115D"/>
    <w:rsid w:val="1E8C372F"/>
    <w:rsid w:val="1EE33122"/>
    <w:rsid w:val="1FD8286D"/>
    <w:rsid w:val="20630CE4"/>
    <w:rsid w:val="20D26DF4"/>
    <w:rsid w:val="21400E91"/>
    <w:rsid w:val="21EF59E9"/>
    <w:rsid w:val="229B61E2"/>
    <w:rsid w:val="232A208C"/>
    <w:rsid w:val="234A395F"/>
    <w:rsid w:val="23DE1CC9"/>
    <w:rsid w:val="2484577E"/>
    <w:rsid w:val="256E2918"/>
    <w:rsid w:val="25AE3087"/>
    <w:rsid w:val="265B376D"/>
    <w:rsid w:val="26E05843"/>
    <w:rsid w:val="271B64B1"/>
    <w:rsid w:val="27904994"/>
    <w:rsid w:val="27B71A5C"/>
    <w:rsid w:val="28233CE0"/>
    <w:rsid w:val="286E34B9"/>
    <w:rsid w:val="288F1C0C"/>
    <w:rsid w:val="297677EA"/>
    <w:rsid w:val="2A2B0F4C"/>
    <w:rsid w:val="2ADD58D1"/>
    <w:rsid w:val="2AE13EFE"/>
    <w:rsid w:val="2AE64804"/>
    <w:rsid w:val="2B483410"/>
    <w:rsid w:val="2BC43834"/>
    <w:rsid w:val="2BF33035"/>
    <w:rsid w:val="2C5818EF"/>
    <w:rsid w:val="2C851F99"/>
    <w:rsid w:val="2CAF217A"/>
    <w:rsid w:val="2E3B54BF"/>
    <w:rsid w:val="2F2C5617"/>
    <w:rsid w:val="2F860B15"/>
    <w:rsid w:val="2F8F4459"/>
    <w:rsid w:val="2FB21C2A"/>
    <w:rsid w:val="2FC745AB"/>
    <w:rsid w:val="307B2ED1"/>
    <w:rsid w:val="30CE679A"/>
    <w:rsid w:val="30DA0A6E"/>
    <w:rsid w:val="31573774"/>
    <w:rsid w:val="335C603A"/>
    <w:rsid w:val="33761510"/>
    <w:rsid w:val="33FD1CE0"/>
    <w:rsid w:val="342D6A33"/>
    <w:rsid w:val="34640CFB"/>
    <w:rsid w:val="34D12099"/>
    <w:rsid w:val="34DC0275"/>
    <w:rsid w:val="34E0486D"/>
    <w:rsid w:val="358B7AE3"/>
    <w:rsid w:val="35DF6214"/>
    <w:rsid w:val="3643286F"/>
    <w:rsid w:val="36474C95"/>
    <w:rsid w:val="36514AE4"/>
    <w:rsid w:val="36851041"/>
    <w:rsid w:val="3761397D"/>
    <w:rsid w:val="3799637E"/>
    <w:rsid w:val="38170A73"/>
    <w:rsid w:val="385A39E1"/>
    <w:rsid w:val="386C4607"/>
    <w:rsid w:val="387E2D8D"/>
    <w:rsid w:val="38831E8E"/>
    <w:rsid w:val="38AC3F09"/>
    <w:rsid w:val="39574AEC"/>
    <w:rsid w:val="398F1B98"/>
    <w:rsid w:val="39F9708B"/>
    <w:rsid w:val="3C21087D"/>
    <w:rsid w:val="3CD52550"/>
    <w:rsid w:val="3CEE1239"/>
    <w:rsid w:val="3DDA0FA6"/>
    <w:rsid w:val="3F534FA2"/>
    <w:rsid w:val="3FFC536B"/>
    <w:rsid w:val="403D7240"/>
    <w:rsid w:val="40F66EF1"/>
    <w:rsid w:val="410205ED"/>
    <w:rsid w:val="41180439"/>
    <w:rsid w:val="41AC09F9"/>
    <w:rsid w:val="41F27B29"/>
    <w:rsid w:val="42944257"/>
    <w:rsid w:val="42E65A14"/>
    <w:rsid w:val="42E73CB6"/>
    <w:rsid w:val="433D79F7"/>
    <w:rsid w:val="44B16587"/>
    <w:rsid w:val="458F5C57"/>
    <w:rsid w:val="45CA4F79"/>
    <w:rsid w:val="462E224A"/>
    <w:rsid w:val="46911EDD"/>
    <w:rsid w:val="47B44D59"/>
    <w:rsid w:val="48DD5A03"/>
    <w:rsid w:val="49022A23"/>
    <w:rsid w:val="49275E68"/>
    <w:rsid w:val="495E74DC"/>
    <w:rsid w:val="4A156A68"/>
    <w:rsid w:val="4AC45DB7"/>
    <w:rsid w:val="4B3B4F38"/>
    <w:rsid w:val="4B5A1FBC"/>
    <w:rsid w:val="4C4B7FF9"/>
    <w:rsid w:val="4D3637DE"/>
    <w:rsid w:val="4D7B4740"/>
    <w:rsid w:val="4F146551"/>
    <w:rsid w:val="4F230C30"/>
    <w:rsid w:val="4FA75452"/>
    <w:rsid w:val="50404F27"/>
    <w:rsid w:val="504C5E35"/>
    <w:rsid w:val="50DE6640"/>
    <w:rsid w:val="527526F4"/>
    <w:rsid w:val="529C1C38"/>
    <w:rsid w:val="53493B11"/>
    <w:rsid w:val="539843F2"/>
    <w:rsid w:val="5541314E"/>
    <w:rsid w:val="55934E2F"/>
    <w:rsid w:val="55B75DF7"/>
    <w:rsid w:val="55D32875"/>
    <w:rsid w:val="56B85DF9"/>
    <w:rsid w:val="57366FFE"/>
    <w:rsid w:val="57757800"/>
    <w:rsid w:val="57FB1D11"/>
    <w:rsid w:val="582900C8"/>
    <w:rsid w:val="58590418"/>
    <w:rsid w:val="58A7584C"/>
    <w:rsid w:val="59164C8A"/>
    <w:rsid w:val="5AB317E4"/>
    <w:rsid w:val="5AC632E2"/>
    <w:rsid w:val="5AFB5901"/>
    <w:rsid w:val="5B167009"/>
    <w:rsid w:val="5B30576D"/>
    <w:rsid w:val="5BB5316F"/>
    <w:rsid w:val="5DA606CE"/>
    <w:rsid w:val="5E697883"/>
    <w:rsid w:val="5F09013F"/>
    <w:rsid w:val="5F0B0229"/>
    <w:rsid w:val="5F452EC0"/>
    <w:rsid w:val="5F4D59EA"/>
    <w:rsid w:val="5FEC2CC3"/>
    <w:rsid w:val="60101D9F"/>
    <w:rsid w:val="604608B0"/>
    <w:rsid w:val="604C1BC0"/>
    <w:rsid w:val="60AF19B2"/>
    <w:rsid w:val="629F5731"/>
    <w:rsid w:val="636A5F6D"/>
    <w:rsid w:val="646D1E4C"/>
    <w:rsid w:val="64740B15"/>
    <w:rsid w:val="64C44003"/>
    <w:rsid w:val="66696A9A"/>
    <w:rsid w:val="66815E18"/>
    <w:rsid w:val="66C6603A"/>
    <w:rsid w:val="6745561C"/>
    <w:rsid w:val="679D000C"/>
    <w:rsid w:val="67AD39FC"/>
    <w:rsid w:val="682702ED"/>
    <w:rsid w:val="6A05638A"/>
    <w:rsid w:val="6A0E756A"/>
    <w:rsid w:val="6A3803FC"/>
    <w:rsid w:val="6AC577C0"/>
    <w:rsid w:val="6B214631"/>
    <w:rsid w:val="6B217A0E"/>
    <w:rsid w:val="6C880625"/>
    <w:rsid w:val="6C8F0297"/>
    <w:rsid w:val="6CFD1EF2"/>
    <w:rsid w:val="6DA90574"/>
    <w:rsid w:val="6EFB18F7"/>
    <w:rsid w:val="6F2C0B11"/>
    <w:rsid w:val="7026291C"/>
    <w:rsid w:val="70754E01"/>
    <w:rsid w:val="709F7D61"/>
    <w:rsid w:val="70C02DBA"/>
    <w:rsid w:val="7126534D"/>
    <w:rsid w:val="713E212A"/>
    <w:rsid w:val="71AD01A6"/>
    <w:rsid w:val="727E719D"/>
    <w:rsid w:val="72DA42AD"/>
    <w:rsid w:val="72E3072F"/>
    <w:rsid w:val="73190C0E"/>
    <w:rsid w:val="7404157D"/>
    <w:rsid w:val="74132D96"/>
    <w:rsid w:val="74B30B95"/>
    <w:rsid w:val="74B8402D"/>
    <w:rsid w:val="75157FAD"/>
    <w:rsid w:val="76132630"/>
    <w:rsid w:val="769576DA"/>
    <w:rsid w:val="777B2191"/>
    <w:rsid w:val="783C2632"/>
    <w:rsid w:val="79815FB7"/>
    <w:rsid w:val="798D46DC"/>
    <w:rsid w:val="7A427C28"/>
    <w:rsid w:val="7A8B358A"/>
    <w:rsid w:val="7B500225"/>
    <w:rsid w:val="7B9B29AB"/>
    <w:rsid w:val="7BBC1E3C"/>
    <w:rsid w:val="7BEB5FAF"/>
    <w:rsid w:val="7C0360C6"/>
    <w:rsid w:val="7CC3556D"/>
    <w:rsid w:val="7EEE2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qFormat/>
    <w:uiPriority w:val="99"/>
    <w:pPr>
      <w:ind w:left="1996"/>
      <w:outlineLvl w:val="1"/>
    </w:pPr>
    <w:rPr>
      <w:rFonts w:ascii="Cambria" w:hAnsi="Cambria" w:cs="Times New Roman"/>
      <w:b/>
      <w:bCs/>
      <w:sz w:val="32"/>
      <w:szCs w:val="32"/>
    </w:rPr>
  </w:style>
  <w:style w:type="paragraph" w:styleId="4">
    <w:name w:val="heading 3"/>
    <w:basedOn w:val="1"/>
    <w:next w:val="1"/>
    <w:autoRedefine/>
    <w:qFormat/>
    <w:uiPriority w:val="0"/>
    <w:pPr>
      <w:keepNext/>
      <w:jc w:val="center"/>
      <w:outlineLvl w:val="2"/>
    </w:pPr>
    <w:rPr>
      <w:rFonts w:ascii="Times New Roman"/>
      <w:sz w:val="28"/>
    </w:rPr>
  </w:style>
  <w:style w:type="paragraph" w:styleId="5">
    <w:name w:val="heading 4"/>
    <w:basedOn w:val="1"/>
    <w:next w:val="1"/>
    <w:autoRedefine/>
    <w:qFormat/>
    <w:uiPriority w:val="0"/>
    <w:pPr>
      <w:spacing w:line="500" w:lineRule="exact"/>
      <w:outlineLvl w:val="3"/>
    </w:pPr>
    <w:rPr>
      <w:b/>
      <w:bCs/>
      <w:kern w:val="0"/>
      <w:sz w:val="24"/>
      <w:szCs w:val="28"/>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7">
    <w:name w:val="toa heading"/>
    <w:basedOn w:val="1"/>
    <w:next w:val="1"/>
    <w:autoRedefine/>
    <w:semiHidden/>
    <w:qFormat/>
    <w:uiPriority w:val="0"/>
    <w:pPr>
      <w:spacing w:before="120"/>
    </w:pPr>
    <w:rPr>
      <w:rFonts w:ascii="Arial" w:hAnsi="Arial" w:cs="Arial"/>
      <w:sz w:val="24"/>
    </w:rPr>
  </w:style>
  <w:style w:type="paragraph" w:styleId="8">
    <w:name w:val="annotation text"/>
    <w:basedOn w:val="1"/>
    <w:autoRedefine/>
    <w:qFormat/>
    <w:uiPriority w:val="0"/>
    <w:pPr>
      <w:jc w:val="left"/>
    </w:pPr>
  </w:style>
  <w:style w:type="paragraph" w:styleId="9">
    <w:name w:val="Body Text"/>
    <w:basedOn w:val="1"/>
    <w:next w:val="6"/>
    <w:autoRedefine/>
    <w:qFormat/>
    <w:uiPriority w:val="0"/>
    <w:rPr>
      <w:rFonts w:hAnsi="Times New Roman" w:cs="Times New Roman"/>
      <w:szCs w:val="20"/>
    </w:rPr>
  </w:style>
  <w:style w:type="paragraph" w:styleId="10">
    <w:name w:val="Body Text Indent"/>
    <w:basedOn w:val="1"/>
    <w:autoRedefine/>
    <w:unhideWhenUsed/>
    <w:qFormat/>
    <w:uiPriority w:val="99"/>
    <w:pPr>
      <w:spacing w:after="120"/>
      <w:ind w:left="420" w:leftChars="200"/>
    </w:pPr>
  </w:style>
  <w:style w:type="paragraph" w:styleId="11">
    <w:name w:val="Plain Text"/>
    <w:basedOn w:val="1"/>
    <w:autoRedefine/>
    <w:qFormat/>
    <w:uiPriority w:val="0"/>
    <w:rPr>
      <w:rFonts w:ascii="宋体" w:hAnsi="Courier New"/>
      <w:sz w:val="32"/>
    </w:rPr>
  </w:style>
  <w:style w:type="paragraph" w:styleId="12">
    <w:name w:val="Balloon Text"/>
    <w:basedOn w:val="1"/>
    <w:link w:val="46"/>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Body Text 2"/>
    <w:basedOn w:val="1"/>
    <w:autoRedefine/>
    <w:qFormat/>
    <w:uiPriority w:val="0"/>
    <w:pPr>
      <w:adjustRightInd w:val="0"/>
      <w:snapToGrid w:val="0"/>
      <w:spacing w:line="480" w:lineRule="atLeast"/>
    </w:pPr>
    <w:rPr>
      <w:rFonts w:ascii="Times New Roman" w:hAnsi="Times New Roman" w:eastAsia="宋体" w:cs="Times New Roman"/>
      <w:sz w:val="20"/>
      <w:szCs w:val="20"/>
    </w:rPr>
  </w:style>
  <w:style w:type="paragraph" w:styleId="18">
    <w:name w:val="Normal (Web)"/>
    <w:basedOn w:val="1"/>
    <w:autoRedefine/>
    <w:qFormat/>
    <w:uiPriority w:val="0"/>
    <w:pPr>
      <w:jc w:val="left"/>
    </w:pPr>
    <w:rPr>
      <w:rFonts w:cs="Times New Roman"/>
      <w:kern w:val="0"/>
      <w:sz w:val="24"/>
    </w:rPr>
  </w:style>
  <w:style w:type="paragraph" w:styleId="19">
    <w:name w:val="Body Text First Indent"/>
    <w:basedOn w:val="9"/>
    <w:autoRedefine/>
    <w:qFormat/>
    <w:uiPriority w:val="0"/>
    <w:pPr>
      <w:ind w:firstLine="420" w:firstLineChars="100"/>
    </w:pPr>
  </w:style>
  <w:style w:type="paragraph" w:styleId="20">
    <w:name w:val="Body Text First Indent 2"/>
    <w:basedOn w:val="10"/>
    <w:autoRedefine/>
    <w:unhideWhenUsed/>
    <w:qFormat/>
    <w:uiPriority w:val="99"/>
    <w:pPr>
      <w:ind w:firstLine="42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style>
  <w:style w:type="character" w:styleId="25">
    <w:name w:val="FollowedHyperlink"/>
    <w:basedOn w:val="23"/>
    <w:autoRedefine/>
    <w:qFormat/>
    <w:uiPriority w:val="0"/>
    <w:rPr>
      <w:color w:val="333333"/>
      <w:u w:val="none"/>
    </w:rPr>
  </w:style>
  <w:style w:type="character" w:styleId="26">
    <w:name w:val="Emphasis"/>
    <w:basedOn w:val="23"/>
    <w:autoRedefine/>
    <w:qFormat/>
    <w:uiPriority w:val="0"/>
    <w:rPr>
      <w:color w:val="CC0000"/>
    </w:rPr>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basedOn w:val="23"/>
    <w:autoRedefine/>
    <w:qFormat/>
    <w:uiPriority w:val="0"/>
    <w:rPr>
      <w:color w:val="333333"/>
      <w:u w:val="none"/>
    </w:rPr>
  </w:style>
  <w:style w:type="character" w:styleId="32">
    <w:name w:val="HTML Code"/>
    <w:basedOn w:val="23"/>
    <w:autoRedefine/>
    <w:qFormat/>
    <w:uiPriority w:val="0"/>
    <w:rPr>
      <w:rFonts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qFormat/>
    <w:uiPriority w:val="0"/>
    <w:rPr>
      <w:color w:val="008000"/>
    </w:rPr>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正文格式"/>
    <w:basedOn w:val="9"/>
    <w:autoRedefine/>
    <w:qFormat/>
    <w:uiPriority w:val="0"/>
    <w:pPr>
      <w:widowControl/>
      <w:adjustRightInd w:val="0"/>
      <w:snapToGrid w:val="0"/>
      <w:spacing w:line="400" w:lineRule="atLeast"/>
      <w:ind w:firstLine="482"/>
      <w:textAlignment w:val="baseline"/>
    </w:pPr>
  </w:style>
  <w:style w:type="paragraph" w:customStyle="1" w:styleId="38">
    <w:name w:val="列出段落1"/>
    <w:basedOn w:val="1"/>
    <w:autoRedefine/>
    <w:qFormat/>
    <w:uiPriority w:val="1"/>
    <w:pPr>
      <w:ind w:left="574" w:firstLine="480"/>
    </w:pPr>
    <w:rPr>
      <w:rFonts w:ascii="宋体" w:hAnsi="宋体" w:eastAsia="宋体" w:cs="宋体"/>
      <w:lang w:val="zh-CN" w:bidi="zh-CN"/>
    </w:rPr>
  </w:style>
  <w:style w:type="character" w:customStyle="1" w:styleId="39">
    <w:name w:val="c-icon"/>
    <w:basedOn w:val="23"/>
    <w:autoRedefine/>
    <w:qFormat/>
    <w:uiPriority w:val="0"/>
  </w:style>
  <w:style w:type="character" w:customStyle="1" w:styleId="40">
    <w:name w:val="c-icon13"/>
    <w:basedOn w:val="23"/>
    <w:autoRedefine/>
    <w:qFormat/>
    <w:uiPriority w:val="0"/>
  </w:style>
  <w:style w:type="character" w:customStyle="1" w:styleId="41">
    <w:name w:val="标题 3 字符"/>
    <w:autoRedefine/>
    <w:qFormat/>
    <w:uiPriority w:val="0"/>
    <w:rPr>
      <w:rFonts w:cs="Times New Roman"/>
      <w:b/>
      <w:bCs/>
      <w:sz w:val="32"/>
      <w:szCs w:val="32"/>
    </w:rPr>
  </w:style>
  <w:style w:type="character" w:customStyle="1" w:styleId="42">
    <w:name w:val="font01"/>
    <w:basedOn w:val="23"/>
    <w:autoRedefine/>
    <w:qFormat/>
    <w:uiPriority w:val="0"/>
    <w:rPr>
      <w:rFonts w:hint="eastAsia" w:ascii="宋体" w:hAnsi="宋体" w:eastAsia="宋体" w:cs="宋体"/>
      <w:color w:val="000000"/>
      <w:sz w:val="24"/>
      <w:szCs w:val="24"/>
      <w:u w:val="none"/>
    </w:rPr>
  </w:style>
  <w:style w:type="character" w:customStyle="1" w:styleId="43">
    <w:name w:val="hover22"/>
    <w:basedOn w:val="23"/>
    <w:autoRedefine/>
    <w:qFormat/>
    <w:uiPriority w:val="0"/>
    <w:rPr>
      <w:color w:val="315EFB"/>
    </w:rPr>
  </w:style>
  <w:style w:type="character" w:customStyle="1" w:styleId="44">
    <w:name w:val="c-icon27"/>
    <w:basedOn w:val="23"/>
    <w:autoRedefine/>
    <w:qFormat/>
    <w:uiPriority w:val="0"/>
  </w:style>
  <w:style w:type="paragraph" w:customStyle="1" w:styleId="45">
    <w:name w:val="Body text|1"/>
    <w:basedOn w:val="1"/>
    <w:autoRedefine/>
    <w:qFormat/>
    <w:uiPriority w:val="0"/>
    <w:pPr>
      <w:spacing w:after="40" w:line="343" w:lineRule="auto"/>
    </w:pPr>
    <w:rPr>
      <w:rFonts w:ascii="宋体" w:hAnsi="宋体" w:eastAsia="宋体" w:cs="宋体"/>
      <w:lang w:val="zh-TW" w:eastAsia="zh-TW" w:bidi="zh-TW"/>
    </w:rPr>
  </w:style>
  <w:style w:type="character" w:customStyle="1" w:styleId="46">
    <w:name w:val="批注框文本 Char"/>
    <w:basedOn w:val="23"/>
    <w:link w:val="12"/>
    <w:autoRedefine/>
    <w:qFormat/>
    <w:uiPriority w:val="0"/>
    <w:rPr>
      <w:rFonts w:asciiTheme="minorHAnsi" w:hAnsiTheme="minorHAnsi" w:eastAsiaTheme="minorEastAsia" w:cstheme="minorBidi"/>
      <w:kern w:val="2"/>
      <w:sz w:val="18"/>
      <w:szCs w:val="18"/>
    </w:rPr>
  </w:style>
  <w:style w:type="character" w:customStyle="1" w:styleId="47">
    <w:name w:val="font51"/>
    <w:basedOn w:val="23"/>
    <w:autoRedefine/>
    <w:qFormat/>
    <w:uiPriority w:val="0"/>
    <w:rPr>
      <w:rFonts w:hint="eastAsia" w:ascii="宋体" w:hAnsi="宋体" w:eastAsia="宋体" w:cs="宋体"/>
      <w:color w:val="000000"/>
      <w:sz w:val="22"/>
      <w:szCs w:val="22"/>
      <w:u w:val="none"/>
    </w:rPr>
  </w:style>
  <w:style w:type="paragraph" w:customStyle="1" w:styleId="48">
    <w:name w:val="Table Paragraph"/>
    <w:basedOn w:val="1"/>
    <w:autoRedefine/>
    <w:qFormat/>
    <w:uiPriority w:val="0"/>
    <w:pPr>
      <w:ind w:left="104"/>
      <w:jc w:val="left"/>
    </w:pPr>
    <w:rPr>
      <w:rFonts w:ascii="宋体" w:hAnsi="宋体" w:eastAsia="宋体" w:cs="宋体"/>
      <w:kern w:val="0"/>
      <w:sz w:val="22"/>
      <w:lang w:eastAsia="en-US"/>
    </w:rPr>
  </w:style>
  <w:style w:type="paragraph" w:customStyle="1" w:styleId="49">
    <w:name w:val="Blockquote"/>
    <w:basedOn w:val="1"/>
    <w:autoRedefine/>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12562</Words>
  <Characters>14236</Characters>
  <Lines>181</Lines>
  <Paragraphs>51</Paragraphs>
  <TotalTime>13</TotalTime>
  <ScaleCrop>false</ScaleCrop>
  <LinksUpToDate>false</LinksUpToDate>
  <CharactersWithSpaces>15324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2020-11-25T07:10:00Z</dcterms:created>
  <dc:creator>韩巍</dc:creator>
  <cp:lastModifiedBy>XXYU</cp:lastModifiedBy>
  <cp:lastPrinted>2022-05-05T01:15:00Z</cp:lastPrinted>
  <dcterms:modified xsi:type="dcterms:W3CDTF">2024-03-20T09:08:09Z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CB54976C0D7949CE8E02A4E10C97E717_13</vt:lpwstr>
  </property>
</Properties>
</file>